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A9" w:rsidRDefault="00E512D1" w:rsidP="00C41D80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</w:t>
      </w:r>
      <w:r w:rsidR="00C41D80">
        <w:rPr>
          <w:sz w:val="18"/>
          <w:szCs w:val="18"/>
          <w:lang w:val="uk-UA"/>
        </w:rPr>
        <w:t xml:space="preserve">        </w:t>
      </w:r>
    </w:p>
    <w:p w:rsidR="00A758A9" w:rsidRDefault="00A758A9" w:rsidP="00C41D80">
      <w:pPr>
        <w:rPr>
          <w:sz w:val="18"/>
          <w:szCs w:val="18"/>
          <w:lang w:val="uk-UA"/>
        </w:rPr>
      </w:pPr>
    </w:p>
    <w:p w:rsidR="00A758A9" w:rsidRDefault="00A758A9" w:rsidP="00C41D80">
      <w:pPr>
        <w:rPr>
          <w:sz w:val="18"/>
          <w:szCs w:val="18"/>
          <w:lang w:val="uk-UA"/>
        </w:rPr>
      </w:pPr>
    </w:p>
    <w:p w:rsidR="00A758A9" w:rsidRDefault="00A758A9" w:rsidP="00C41D80">
      <w:pPr>
        <w:rPr>
          <w:sz w:val="18"/>
          <w:szCs w:val="18"/>
          <w:lang w:val="uk-UA"/>
        </w:rPr>
      </w:pPr>
    </w:p>
    <w:p w:rsidR="00A758A9" w:rsidRDefault="00A758A9" w:rsidP="00C41D80">
      <w:pPr>
        <w:rPr>
          <w:sz w:val="18"/>
          <w:szCs w:val="18"/>
          <w:lang w:val="uk-UA"/>
        </w:rPr>
      </w:pPr>
    </w:p>
    <w:p w:rsidR="00A758A9" w:rsidRDefault="00A758A9" w:rsidP="00C41D80">
      <w:pPr>
        <w:rPr>
          <w:sz w:val="18"/>
          <w:szCs w:val="18"/>
          <w:lang w:val="uk-UA"/>
        </w:rPr>
      </w:pPr>
    </w:p>
    <w:p w:rsidR="00A758A9" w:rsidRDefault="00A758A9" w:rsidP="00C41D80">
      <w:pPr>
        <w:rPr>
          <w:sz w:val="18"/>
          <w:szCs w:val="18"/>
          <w:lang w:val="uk-UA"/>
        </w:rPr>
      </w:pPr>
    </w:p>
    <w:p w:rsidR="00A758A9" w:rsidRDefault="00A758A9" w:rsidP="00C41D80">
      <w:pPr>
        <w:rPr>
          <w:sz w:val="18"/>
          <w:szCs w:val="18"/>
          <w:lang w:val="uk-UA"/>
        </w:rPr>
      </w:pPr>
    </w:p>
    <w:p w:rsidR="00C176F7" w:rsidRPr="00C41D80" w:rsidRDefault="00A758A9" w:rsidP="00C41D80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</w:t>
      </w:r>
      <w:r w:rsidR="00C41D80">
        <w:rPr>
          <w:sz w:val="18"/>
          <w:szCs w:val="18"/>
          <w:lang w:val="uk-UA"/>
        </w:rPr>
        <w:t xml:space="preserve">  </w:t>
      </w:r>
      <w:r w:rsidR="00C176F7" w:rsidRPr="00087997">
        <w:rPr>
          <w:b/>
          <w:sz w:val="28"/>
          <w:szCs w:val="28"/>
          <w:lang w:val="uk-UA"/>
        </w:rPr>
        <w:t>ПОЯСНЮВАЛЬНА ЗАПИСКА</w:t>
      </w:r>
    </w:p>
    <w:p w:rsidR="00C176F7" w:rsidRPr="00087997" w:rsidRDefault="00C176F7" w:rsidP="00C176F7">
      <w:pPr>
        <w:jc w:val="center"/>
        <w:rPr>
          <w:sz w:val="28"/>
          <w:szCs w:val="28"/>
          <w:lang w:val="uk-UA"/>
        </w:rPr>
      </w:pPr>
      <w:r w:rsidRPr="00087997">
        <w:rPr>
          <w:sz w:val="28"/>
          <w:szCs w:val="28"/>
          <w:lang w:val="uk-UA"/>
        </w:rPr>
        <w:t xml:space="preserve">до звіту про виконання бюджету </w:t>
      </w:r>
      <w:r>
        <w:rPr>
          <w:sz w:val="28"/>
          <w:szCs w:val="28"/>
          <w:lang w:val="uk-UA"/>
        </w:rPr>
        <w:t xml:space="preserve">Грушівської сільської </w:t>
      </w:r>
      <w:r w:rsidRPr="00087997">
        <w:rPr>
          <w:sz w:val="28"/>
          <w:szCs w:val="28"/>
          <w:lang w:val="uk-UA"/>
        </w:rPr>
        <w:t xml:space="preserve">територіальної громади </w:t>
      </w:r>
    </w:p>
    <w:p w:rsidR="00C176F7" w:rsidRPr="00C41D80" w:rsidRDefault="00C176F7" w:rsidP="00C41D80">
      <w:pPr>
        <w:jc w:val="center"/>
        <w:rPr>
          <w:sz w:val="28"/>
          <w:szCs w:val="28"/>
          <w:u w:val="single"/>
          <w:lang w:val="uk-UA"/>
        </w:rPr>
      </w:pPr>
      <w:r w:rsidRPr="00087997">
        <w:rPr>
          <w:sz w:val="28"/>
          <w:szCs w:val="28"/>
          <w:u w:val="single"/>
          <w:lang w:val="uk-UA"/>
        </w:rPr>
        <w:t>за</w:t>
      </w:r>
      <w:r>
        <w:rPr>
          <w:sz w:val="28"/>
          <w:szCs w:val="28"/>
          <w:u w:val="single"/>
          <w:lang w:val="uk-UA"/>
        </w:rPr>
        <w:t xml:space="preserve"> </w:t>
      </w:r>
      <w:r w:rsidR="004B748D">
        <w:rPr>
          <w:sz w:val="28"/>
          <w:szCs w:val="28"/>
          <w:u w:val="single"/>
          <w:lang w:val="uk-UA"/>
        </w:rPr>
        <w:t>І півріччя</w:t>
      </w:r>
      <w:r>
        <w:rPr>
          <w:sz w:val="28"/>
          <w:szCs w:val="28"/>
          <w:u w:val="single"/>
          <w:lang w:val="uk-UA"/>
        </w:rPr>
        <w:t xml:space="preserve"> </w:t>
      </w:r>
      <w:r w:rsidRPr="00087997">
        <w:rPr>
          <w:sz w:val="28"/>
          <w:szCs w:val="28"/>
          <w:u w:val="single"/>
          <w:lang w:val="uk-UA"/>
        </w:rPr>
        <w:t xml:space="preserve"> </w:t>
      </w:r>
      <w:r w:rsidR="004B748D">
        <w:rPr>
          <w:sz w:val="28"/>
          <w:szCs w:val="28"/>
          <w:u w:val="single"/>
          <w:lang w:val="uk-UA"/>
        </w:rPr>
        <w:t>2022</w:t>
      </w:r>
      <w:r>
        <w:rPr>
          <w:sz w:val="28"/>
          <w:szCs w:val="28"/>
          <w:u w:val="single"/>
          <w:lang w:val="uk-UA"/>
        </w:rPr>
        <w:t xml:space="preserve"> </w:t>
      </w:r>
      <w:r w:rsidRPr="00087997">
        <w:rPr>
          <w:sz w:val="28"/>
          <w:szCs w:val="28"/>
          <w:u w:val="single"/>
          <w:lang w:val="uk-UA"/>
        </w:rPr>
        <w:t>р</w:t>
      </w:r>
      <w:r>
        <w:rPr>
          <w:sz w:val="28"/>
          <w:szCs w:val="28"/>
          <w:u w:val="single"/>
          <w:lang w:val="uk-UA"/>
        </w:rPr>
        <w:t>оку</w:t>
      </w:r>
    </w:p>
    <w:p w:rsidR="00C176F7" w:rsidRPr="00087997" w:rsidRDefault="00C176F7" w:rsidP="00C176F7">
      <w:pPr>
        <w:ind w:firstLine="851"/>
        <w:jc w:val="both"/>
        <w:rPr>
          <w:sz w:val="28"/>
          <w:szCs w:val="28"/>
          <w:lang w:val="uk-UA"/>
        </w:rPr>
      </w:pPr>
      <w:r w:rsidRPr="00087997">
        <w:rPr>
          <w:b/>
          <w:sz w:val="28"/>
          <w:szCs w:val="28"/>
          <w:lang w:val="uk-UA"/>
        </w:rPr>
        <w:t>За період із січня-</w:t>
      </w:r>
      <w:r>
        <w:rPr>
          <w:b/>
          <w:sz w:val="28"/>
          <w:szCs w:val="28"/>
          <w:lang w:val="uk-UA"/>
        </w:rPr>
        <w:t xml:space="preserve"> </w:t>
      </w:r>
      <w:r w:rsidRPr="00087997">
        <w:rPr>
          <w:b/>
          <w:sz w:val="28"/>
          <w:szCs w:val="28"/>
          <w:lang w:val="uk-UA"/>
        </w:rPr>
        <w:t xml:space="preserve">по </w:t>
      </w:r>
      <w:r w:rsidR="004B748D">
        <w:rPr>
          <w:b/>
          <w:sz w:val="28"/>
          <w:szCs w:val="28"/>
          <w:lang w:val="uk-UA"/>
        </w:rPr>
        <w:t>червень</w:t>
      </w:r>
      <w:r w:rsidRPr="00087997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</w:t>
      </w:r>
      <w:r w:rsidR="004B748D">
        <w:rPr>
          <w:b/>
          <w:sz w:val="28"/>
          <w:szCs w:val="28"/>
          <w:lang w:val="uk-UA"/>
        </w:rPr>
        <w:t>2</w:t>
      </w:r>
      <w:r w:rsidRPr="00087997">
        <w:rPr>
          <w:b/>
          <w:sz w:val="28"/>
          <w:szCs w:val="28"/>
          <w:lang w:val="uk-UA"/>
        </w:rPr>
        <w:t xml:space="preserve"> року</w:t>
      </w:r>
      <w:r w:rsidRPr="00087997">
        <w:rPr>
          <w:sz w:val="28"/>
          <w:szCs w:val="28"/>
          <w:lang w:val="uk-UA"/>
        </w:rPr>
        <w:t xml:space="preserve"> до бюджету </w:t>
      </w:r>
      <w:r>
        <w:rPr>
          <w:sz w:val="28"/>
          <w:szCs w:val="28"/>
          <w:lang w:val="uk-UA"/>
        </w:rPr>
        <w:t xml:space="preserve">сільської </w:t>
      </w:r>
      <w:r w:rsidRPr="00087997">
        <w:rPr>
          <w:sz w:val="28"/>
          <w:szCs w:val="28"/>
          <w:lang w:val="uk-UA"/>
        </w:rPr>
        <w:t xml:space="preserve">територіальної громади надійшло </w:t>
      </w:r>
      <w:r w:rsidR="004B748D">
        <w:rPr>
          <w:b/>
          <w:color w:val="000000"/>
          <w:sz w:val="28"/>
          <w:szCs w:val="28"/>
          <w:lang w:val="uk-UA"/>
        </w:rPr>
        <w:t>23 362 436,75</w:t>
      </w:r>
      <w:r w:rsidRPr="00B75513">
        <w:rPr>
          <w:b/>
          <w:color w:val="000000"/>
          <w:sz w:val="28"/>
          <w:szCs w:val="28"/>
          <w:lang w:val="uk-UA"/>
        </w:rPr>
        <w:t xml:space="preserve"> </w:t>
      </w:r>
      <w:r w:rsidRPr="00087997">
        <w:rPr>
          <w:b/>
          <w:sz w:val="28"/>
          <w:szCs w:val="28"/>
          <w:lang w:val="uk-UA"/>
        </w:rPr>
        <w:t>гр</w:t>
      </w:r>
      <w:r>
        <w:rPr>
          <w:b/>
          <w:sz w:val="28"/>
          <w:szCs w:val="28"/>
          <w:lang w:val="uk-UA"/>
        </w:rPr>
        <w:t>н.</w:t>
      </w:r>
      <w:r w:rsidRPr="00087997">
        <w:rPr>
          <w:sz w:val="28"/>
          <w:szCs w:val="28"/>
          <w:lang w:val="uk-UA"/>
        </w:rPr>
        <w:t xml:space="preserve"> доходів</w:t>
      </w:r>
      <w:r>
        <w:rPr>
          <w:sz w:val="28"/>
          <w:szCs w:val="28"/>
          <w:lang w:val="uk-UA"/>
        </w:rPr>
        <w:t>.</w:t>
      </w:r>
      <w:r w:rsidRPr="00087997">
        <w:rPr>
          <w:sz w:val="28"/>
          <w:szCs w:val="28"/>
          <w:lang w:val="uk-UA"/>
        </w:rPr>
        <w:t xml:space="preserve"> До </w:t>
      </w:r>
      <w:r w:rsidRPr="00087997">
        <w:rPr>
          <w:b/>
          <w:sz w:val="28"/>
          <w:szCs w:val="28"/>
          <w:lang w:val="uk-UA"/>
        </w:rPr>
        <w:t>загального фонду</w:t>
      </w:r>
      <w:r w:rsidRPr="00087997">
        <w:rPr>
          <w:sz w:val="28"/>
          <w:szCs w:val="28"/>
          <w:lang w:val="uk-UA"/>
        </w:rPr>
        <w:t xml:space="preserve"> надійшло </w:t>
      </w:r>
      <w:r w:rsidR="004B748D">
        <w:rPr>
          <w:b/>
          <w:color w:val="000000"/>
          <w:sz w:val="28"/>
          <w:szCs w:val="28"/>
          <w:lang w:val="uk-UA"/>
        </w:rPr>
        <w:t>23 232 029,91</w:t>
      </w:r>
      <w:r w:rsidR="00D033DB" w:rsidRPr="00B75513">
        <w:rPr>
          <w:b/>
          <w:color w:val="000000"/>
          <w:sz w:val="28"/>
          <w:szCs w:val="28"/>
          <w:lang w:val="uk-UA"/>
        </w:rPr>
        <w:t xml:space="preserve"> </w:t>
      </w:r>
      <w:r w:rsidRPr="00087997">
        <w:rPr>
          <w:b/>
          <w:sz w:val="28"/>
          <w:szCs w:val="28"/>
          <w:lang w:val="uk-UA"/>
        </w:rPr>
        <w:t>гр</w:t>
      </w:r>
      <w:r>
        <w:rPr>
          <w:b/>
          <w:sz w:val="28"/>
          <w:szCs w:val="28"/>
          <w:lang w:val="uk-UA"/>
        </w:rPr>
        <w:t>н.</w:t>
      </w:r>
      <w:r w:rsidRPr="00087997">
        <w:rPr>
          <w:sz w:val="28"/>
          <w:szCs w:val="28"/>
          <w:lang w:val="uk-UA"/>
        </w:rPr>
        <w:t xml:space="preserve">, що становить </w:t>
      </w:r>
      <w:r w:rsidR="004B748D">
        <w:rPr>
          <w:sz w:val="28"/>
          <w:szCs w:val="28"/>
          <w:lang w:val="uk-UA"/>
        </w:rPr>
        <w:t>101,64</w:t>
      </w:r>
      <w:r>
        <w:rPr>
          <w:sz w:val="28"/>
          <w:szCs w:val="28"/>
          <w:lang w:val="uk-UA"/>
        </w:rPr>
        <w:t xml:space="preserve"> % до уточненого річного плану,</w:t>
      </w:r>
      <w:r w:rsidRPr="00087997">
        <w:rPr>
          <w:sz w:val="28"/>
          <w:szCs w:val="28"/>
          <w:lang w:val="uk-UA"/>
        </w:rPr>
        <w:t xml:space="preserve"> до </w:t>
      </w:r>
      <w:r w:rsidRPr="00087997">
        <w:rPr>
          <w:b/>
          <w:sz w:val="28"/>
          <w:szCs w:val="28"/>
          <w:lang w:val="uk-UA"/>
        </w:rPr>
        <w:t xml:space="preserve">спеціального </w:t>
      </w:r>
      <w:r w:rsidRPr="00087997">
        <w:rPr>
          <w:sz w:val="28"/>
          <w:szCs w:val="28"/>
          <w:lang w:val="uk-UA"/>
        </w:rPr>
        <w:t xml:space="preserve">– </w:t>
      </w:r>
      <w:r w:rsidR="004B748D">
        <w:rPr>
          <w:b/>
          <w:color w:val="000000"/>
          <w:sz w:val="28"/>
          <w:szCs w:val="28"/>
          <w:lang w:val="uk-UA"/>
        </w:rPr>
        <w:t>130 406,84</w:t>
      </w:r>
      <w:r w:rsidRPr="00B75513">
        <w:rPr>
          <w:b/>
          <w:color w:val="000000"/>
          <w:sz w:val="28"/>
          <w:szCs w:val="28"/>
          <w:lang w:val="uk-UA"/>
        </w:rPr>
        <w:t xml:space="preserve"> </w:t>
      </w:r>
      <w:r w:rsidRPr="00087997">
        <w:rPr>
          <w:b/>
          <w:sz w:val="28"/>
          <w:szCs w:val="28"/>
          <w:lang w:val="uk-UA"/>
        </w:rPr>
        <w:t>гр</w:t>
      </w:r>
      <w:r>
        <w:rPr>
          <w:b/>
          <w:sz w:val="28"/>
          <w:szCs w:val="28"/>
          <w:lang w:val="uk-UA"/>
        </w:rPr>
        <w:t xml:space="preserve">н. </w:t>
      </w:r>
      <w:r>
        <w:rPr>
          <w:sz w:val="28"/>
          <w:szCs w:val="28"/>
          <w:lang w:val="uk-UA"/>
        </w:rPr>
        <w:t xml:space="preserve">, </w:t>
      </w:r>
      <w:r w:rsidRPr="00087997">
        <w:rPr>
          <w:sz w:val="28"/>
          <w:szCs w:val="28"/>
          <w:lang w:val="uk-UA"/>
        </w:rPr>
        <w:t xml:space="preserve">що становить </w:t>
      </w:r>
      <w:r w:rsidR="004B748D">
        <w:rPr>
          <w:sz w:val="28"/>
          <w:szCs w:val="28"/>
          <w:lang w:val="uk-UA"/>
        </w:rPr>
        <w:t>33,84</w:t>
      </w:r>
      <w:r>
        <w:rPr>
          <w:sz w:val="28"/>
          <w:szCs w:val="28"/>
          <w:lang w:val="uk-UA"/>
        </w:rPr>
        <w:t xml:space="preserve"> </w:t>
      </w:r>
      <w:r w:rsidRPr="00087997">
        <w:rPr>
          <w:sz w:val="28"/>
          <w:szCs w:val="28"/>
          <w:lang w:val="uk-UA"/>
        </w:rPr>
        <w:t>% до уточненого річного плану.</w:t>
      </w:r>
    </w:p>
    <w:p w:rsidR="00E51980" w:rsidRDefault="00C176F7" w:rsidP="00C41D80">
      <w:pPr>
        <w:ind w:firstLine="851"/>
        <w:jc w:val="both"/>
        <w:rPr>
          <w:sz w:val="28"/>
          <w:szCs w:val="28"/>
          <w:lang w:val="uk-UA"/>
        </w:rPr>
      </w:pPr>
      <w:r w:rsidRPr="00087997">
        <w:rPr>
          <w:sz w:val="28"/>
          <w:szCs w:val="28"/>
          <w:lang w:val="uk-UA"/>
        </w:rPr>
        <w:t xml:space="preserve">У загальному обсязі фактичних надходжень </w:t>
      </w:r>
      <w:r w:rsidR="004B748D">
        <w:rPr>
          <w:b/>
          <w:sz w:val="28"/>
          <w:szCs w:val="28"/>
          <w:lang w:val="uk-UA"/>
        </w:rPr>
        <w:t>6 552 644,74</w:t>
      </w:r>
      <w:r>
        <w:rPr>
          <w:b/>
          <w:sz w:val="28"/>
          <w:szCs w:val="28"/>
          <w:lang w:val="uk-UA"/>
        </w:rPr>
        <w:t xml:space="preserve"> </w:t>
      </w:r>
      <w:r w:rsidRPr="00087997">
        <w:rPr>
          <w:b/>
          <w:sz w:val="28"/>
          <w:szCs w:val="28"/>
          <w:lang w:val="uk-UA"/>
        </w:rPr>
        <w:t>гр</w:t>
      </w:r>
      <w:r>
        <w:rPr>
          <w:b/>
          <w:sz w:val="28"/>
          <w:szCs w:val="28"/>
          <w:lang w:val="uk-UA"/>
        </w:rPr>
        <w:t>н.</w:t>
      </w:r>
      <w:r w:rsidRPr="00087997">
        <w:rPr>
          <w:sz w:val="28"/>
          <w:szCs w:val="28"/>
          <w:lang w:val="uk-UA"/>
        </w:rPr>
        <w:t xml:space="preserve"> (</w:t>
      </w:r>
      <w:r w:rsidR="004B748D">
        <w:rPr>
          <w:sz w:val="28"/>
          <w:szCs w:val="28"/>
          <w:lang w:val="uk-UA"/>
        </w:rPr>
        <w:t>28,05</w:t>
      </w:r>
      <w:r>
        <w:rPr>
          <w:sz w:val="28"/>
          <w:szCs w:val="28"/>
          <w:lang w:val="uk-UA"/>
        </w:rPr>
        <w:t xml:space="preserve"> </w:t>
      </w:r>
      <w:r w:rsidRPr="00087997">
        <w:rPr>
          <w:sz w:val="28"/>
          <w:szCs w:val="28"/>
          <w:lang w:val="uk-UA"/>
        </w:rPr>
        <w:t xml:space="preserve">%) являють собою </w:t>
      </w:r>
      <w:r w:rsidRPr="00087997">
        <w:rPr>
          <w:b/>
          <w:sz w:val="28"/>
          <w:szCs w:val="28"/>
          <w:lang w:val="uk-UA"/>
        </w:rPr>
        <w:t>власні доходи</w:t>
      </w:r>
      <w:r w:rsidRPr="00087997"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 xml:space="preserve">сільської </w:t>
      </w:r>
      <w:r w:rsidRPr="00087997">
        <w:rPr>
          <w:sz w:val="28"/>
          <w:szCs w:val="28"/>
          <w:lang w:val="uk-UA"/>
        </w:rPr>
        <w:t xml:space="preserve">територіальної громади, </w:t>
      </w:r>
      <w:r w:rsidR="004B748D">
        <w:rPr>
          <w:b/>
          <w:sz w:val="28"/>
          <w:szCs w:val="28"/>
          <w:lang w:val="uk-UA"/>
        </w:rPr>
        <w:t>16 809 792,01</w:t>
      </w:r>
      <w:r>
        <w:rPr>
          <w:b/>
          <w:sz w:val="28"/>
          <w:szCs w:val="28"/>
          <w:lang w:val="uk-UA"/>
        </w:rPr>
        <w:t xml:space="preserve"> </w:t>
      </w:r>
      <w:r w:rsidRPr="00087997">
        <w:rPr>
          <w:b/>
          <w:sz w:val="28"/>
          <w:szCs w:val="28"/>
          <w:lang w:val="uk-UA"/>
        </w:rPr>
        <w:t>гр</w:t>
      </w:r>
      <w:r>
        <w:rPr>
          <w:b/>
          <w:sz w:val="28"/>
          <w:szCs w:val="28"/>
          <w:lang w:val="uk-UA"/>
        </w:rPr>
        <w:t>н.</w:t>
      </w:r>
      <w:r w:rsidRPr="00087997">
        <w:rPr>
          <w:sz w:val="28"/>
          <w:szCs w:val="28"/>
          <w:lang w:val="uk-UA"/>
        </w:rPr>
        <w:t xml:space="preserve"> (</w:t>
      </w:r>
      <w:r w:rsidR="004B748D">
        <w:rPr>
          <w:sz w:val="28"/>
          <w:szCs w:val="28"/>
          <w:lang w:val="uk-UA"/>
        </w:rPr>
        <w:t>71,95</w:t>
      </w:r>
      <w:r w:rsidR="00337B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%)</w:t>
      </w:r>
      <w:r w:rsidRPr="00087997">
        <w:rPr>
          <w:sz w:val="28"/>
          <w:szCs w:val="28"/>
          <w:lang w:val="uk-UA"/>
        </w:rPr>
        <w:t xml:space="preserve"> – </w:t>
      </w:r>
      <w:r w:rsidRPr="00087997">
        <w:rPr>
          <w:b/>
          <w:sz w:val="28"/>
          <w:szCs w:val="28"/>
          <w:lang w:val="uk-UA"/>
        </w:rPr>
        <w:t>трансферти</w:t>
      </w:r>
      <w:r w:rsidRPr="00087997">
        <w:rPr>
          <w:sz w:val="28"/>
          <w:szCs w:val="28"/>
          <w:lang w:val="uk-UA"/>
        </w:rPr>
        <w:t xml:space="preserve">, отримані </w:t>
      </w:r>
      <w:r w:rsidRPr="00087997">
        <w:rPr>
          <w:b/>
          <w:sz w:val="28"/>
          <w:szCs w:val="28"/>
          <w:lang w:val="uk-UA"/>
        </w:rPr>
        <w:t>з державного і обласного бюджетів</w:t>
      </w:r>
      <w:r w:rsidRPr="00087997">
        <w:rPr>
          <w:sz w:val="28"/>
          <w:szCs w:val="28"/>
          <w:lang w:val="uk-UA"/>
        </w:rPr>
        <w:t>.</w:t>
      </w:r>
    </w:p>
    <w:p w:rsidR="00E51980" w:rsidRDefault="00E51980" w:rsidP="00C176F7">
      <w:pPr>
        <w:ind w:firstLine="851"/>
        <w:jc w:val="both"/>
        <w:rPr>
          <w:sz w:val="28"/>
          <w:szCs w:val="28"/>
          <w:lang w:val="uk-UA"/>
        </w:rPr>
      </w:pPr>
    </w:p>
    <w:p w:rsidR="009F7B29" w:rsidRDefault="009F7B29" w:rsidP="00F71B37">
      <w:pPr>
        <w:ind w:firstLine="851"/>
        <w:jc w:val="both"/>
        <w:rPr>
          <w:sz w:val="28"/>
          <w:szCs w:val="28"/>
          <w:lang w:val="uk-UA"/>
        </w:rPr>
      </w:pPr>
    </w:p>
    <w:p w:rsidR="009F7B29" w:rsidRDefault="009F7B29" w:rsidP="00CB37AA">
      <w:pPr>
        <w:jc w:val="both"/>
        <w:rPr>
          <w:sz w:val="28"/>
          <w:szCs w:val="28"/>
          <w:lang w:val="uk-UA"/>
        </w:rPr>
      </w:pPr>
    </w:p>
    <w:p w:rsidR="00F71B37" w:rsidRDefault="00F71B37" w:rsidP="00F71B37">
      <w:pPr>
        <w:jc w:val="both"/>
        <w:rPr>
          <w:sz w:val="28"/>
          <w:szCs w:val="28"/>
          <w:lang w:val="uk-UA"/>
        </w:rPr>
      </w:pPr>
    </w:p>
    <w:p w:rsidR="00E512D1" w:rsidRDefault="00F71B37" w:rsidP="00E51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E94788">
        <w:rPr>
          <w:noProof/>
          <w:sz w:val="28"/>
          <w:szCs w:val="28"/>
        </w:rPr>
        <w:drawing>
          <wp:inline distT="0" distB="0" distL="0" distR="0">
            <wp:extent cx="5257800" cy="617220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2D1" w:rsidRDefault="00E512D1" w:rsidP="00E512D1">
      <w:pPr>
        <w:jc w:val="both"/>
        <w:rPr>
          <w:sz w:val="28"/>
          <w:szCs w:val="28"/>
          <w:lang w:val="uk-UA"/>
        </w:rPr>
      </w:pPr>
    </w:p>
    <w:p w:rsidR="00E512D1" w:rsidRDefault="00E512D1" w:rsidP="00E512D1">
      <w:pPr>
        <w:jc w:val="both"/>
        <w:rPr>
          <w:sz w:val="28"/>
          <w:szCs w:val="28"/>
          <w:lang w:val="uk-UA"/>
        </w:rPr>
      </w:pPr>
    </w:p>
    <w:p w:rsidR="00E512D1" w:rsidRDefault="00E512D1" w:rsidP="00E512D1">
      <w:pPr>
        <w:jc w:val="both"/>
        <w:rPr>
          <w:sz w:val="28"/>
          <w:szCs w:val="28"/>
          <w:lang w:val="uk-UA"/>
        </w:rPr>
      </w:pPr>
    </w:p>
    <w:p w:rsidR="00E512D1" w:rsidRDefault="00E512D1" w:rsidP="00E512D1">
      <w:pPr>
        <w:jc w:val="both"/>
        <w:rPr>
          <w:sz w:val="28"/>
          <w:szCs w:val="28"/>
          <w:lang w:val="uk-UA"/>
        </w:rPr>
      </w:pPr>
    </w:p>
    <w:p w:rsidR="00E512D1" w:rsidRDefault="00E512D1" w:rsidP="00E512D1">
      <w:pPr>
        <w:jc w:val="both"/>
        <w:rPr>
          <w:sz w:val="28"/>
          <w:szCs w:val="28"/>
          <w:lang w:val="uk-UA"/>
        </w:rPr>
      </w:pPr>
    </w:p>
    <w:p w:rsidR="00E512D1" w:rsidRDefault="00E512D1" w:rsidP="00E512D1">
      <w:pPr>
        <w:jc w:val="both"/>
        <w:rPr>
          <w:sz w:val="28"/>
          <w:szCs w:val="28"/>
          <w:lang w:val="uk-UA"/>
        </w:rPr>
      </w:pPr>
    </w:p>
    <w:p w:rsidR="00C176F7" w:rsidRPr="00087997" w:rsidRDefault="00E512D1" w:rsidP="00E51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71B37">
        <w:rPr>
          <w:sz w:val="28"/>
          <w:szCs w:val="28"/>
          <w:lang w:val="uk-UA"/>
        </w:rPr>
        <w:t xml:space="preserve"> </w:t>
      </w:r>
      <w:r w:rsidR="00C176F7" w:rsidRPr="00087997">
        <w:rPr>
          <w:sz w:val="28"/>
          <w:szCs w:val="28"/>
          <w:lang w:val="uk-UA"/>
        </w:rPr>
        <w:t>Найбільшим джерелом</w:t>
      </w:r>
      <w:r w:rsidR="00CF3A0E">
        <w:rPr>
          <w:sz w:val="28"/>
          <w:szCs w:val="28"/>
          <w:lang w:val="uk-UA"/>
        </w:rPr>
        <w:t xml:space="preserve"> власних</w:t>
      </w:r>
      <w:r w:rsidR="00C176F7" w:rsidRPr="00087997">
        <w:rPr>
          <w:sz w:val="28"/>
          <w:szCs w:val="28"/>
          <w:lang w:val="uk-UA"/>
        </w:rPr>
        <w:t xml:space="preserve"> надходжень до загального фонду бюджету </w:t>
      </w:r>
      <w:r w:rsidR="00C176F7">
        <w:rPr>
          <w:sz w:val="28"/>
          <w:szCs w:val="28"/>
          <w:lang w:val="uk-UA"/>
        </w:rPr>
        <w:t>сільської</w:t>
      </w:r>
      <w:r w:rsidR="00C176F7" w:rsidRPr="00087997">
        <w:rPr>
          <w:sz w:val="28"/>
          <w:szCs w:val="28"/>
          <w:lang w:val="uk-UA"/>
        </w:rPr>
        <w:t xml:space="preserve"> територіальної громади є </w:t>
      </w:r>
      <w:r w:rsidR="00C176F7" w:rsidRPr="00087997">
        <w:rPr>
          <w:b/>
          <w:sz w:val="28"/>
          <w:szCs w:val="28"/>
          <w:lang w:val="uk-UA"/>
        </w:rPr>
        <w:t>податок</w:t>
      </w:r>
      <w:r w:rsidR="00337BAF">
        <w:rPr>
          <w:b/>
          <w:sz w:val="28"/>
          <w:szCs w:val="28"/>
          <w:lang w:val="uk-UA"/>
        </w:rPr>
        <w:t xml:space="preserve"> та збір</w:t>
      </w:r>
      <w:r w:rsidR="00C176F7" w:rsidRPr="00087997">
        <w:rPr>
          <w:b/>
          <w:sz w:val="28"/>
          <w:szCs w:val="28"/>
          <w:lang w:val="uk-UA"/>
        </w:rPr>
        <w:t xml:space="preserve"> на доходи з фізичних осіб</w:t>
      </w:r>
      <w:r w:rsidR="00C176F7" w:rsidRPr="00CD02C5">
        <w:rPr>
          <w:b/>
          <w:sz w:val="28"/>
          <w:szCs w:val="28"/>
          <w:lang w:val="uk-UA"/>
        </w:rPr>
        <w:t xml:space="preserve"> </w:t>
      </w:r>
      <w:r w:rsidR="007A111A">
        <w:rPr>
          <w:b/>
          <w:sz w:val="28"/>
          <w:szCs w:val="28"/>
          <w:lang w:val="uk-UA"/>
        </w:rPr>
        <w:t>4 107 254,18</w:t>
      </w:r>
      <w:r w:rsidR="00C176F7">
        <w:rPr>
          <w:sz w:val="28"/>
          <w:szCs w:val="28"/>
          <w:lang w:val="uk-UA"/>
        </w:rPr>
        <w:t xml:space="preserve">грн. </w:t>
      </w:r>
      <w:r w:rsidR="00C176F7" w:rsidRPr="00087997">
        <w:rPr>
          <w:sz w:val="28"/>
          <w:szCs w:val="28"/>
          <w:lang w:val="uk-UA"/>
        </w:rPr>
        <w:t>(питома вага в загальному обсязі фактичних надходжень</w:t>
      </w:r>
      <w:r w:rsidR="00E11E5A">
        <w:rPr>
          <w:sz w:val="28"/>
          <w:szCs w:val="28"/>
          <w:lang w:val="uk-UA"/>
        </w:rPr>
        <w:t xml:space="preserve"> власних доходів</w:t>
      </w:r>
      <w:r w:rsidR="00C176F7" w:rsidRPr="00087997">
        <w:rPr>
          <w:sz w:val="28"/>
          <w:szCs w:val="28"/>
          <w:lang w:val="uk-UA"/>
        </w:rPr>
        <w:t xml:space="preserve"> становить </w:t>
      </w:r>
      <w:r w:rsidR="007A111A">
        <w:rPr>
          <w:sz w:val="28"/>
          <w:szCs w:val="28"/>
          <w:lang w:val="uk-UA"/>
        </w:rPr>
        <w:t>64,0</w:t>
      </w:r>
      <w:r w:rsidR="00C176F7">
        <w:rPr>
          <w:sz w:val="28"/>
          <w:szCs w:val="28"/>
          <w:lang w:val="uk-UA"/>
        </w:rPr>
        <w:t xml:space="preserve"> </w:t>
      </w:r>
      <w:r w:rsidR="00C176F7" w:rsidRPr="00087997">
        <w:rPr>
          <w:sz w:val="28"/>
          <w:szCs w:val="28"/>
          <w:lang w:val="uk-UA"/>
        </w:rPr>
        <w:t xml:space="preserve">%). </w:t>
      </w:r>
    </w:p>
    <w:p w:rsidR="00CB37AA" w:rsidRDefault="00C176F7" w:rsidP="00C41D80">
      <w:pPr>
        <w:ind w:firstLine="851"/>
        <w:jc w:val="both"/>
        <w:rPr>
          <w:sz w:val="28"/>
          <w:szCs w:val="28"/>
          <w:lang w:val="uk-UA"/>
        </w:rPr>
      </w:pPr>
      <w:r w:rsidRPr="00087997">
        <w:rPr>
          <w:sz w:val="28"/>
          <w:szCs w:val="28"/>
          <w:lang w:val="uk-UA"/>
        </w:rPr>
        <w:t xml:space="preserve">Нижче наведено </w:t>
      </w:r>
      <w:r>
        <w:rPr>
          <w:sz w:val="28"/>
          <w:szCs w:val="28"/>
          <w:lang w:val="uk-UA"/>
        </w:rPr>
        <w:t xml:space="preserve">десятку </w:t>
      </w:r>
      <w:r w:rsidRPr="00087997">
        <w:rPr>
          <w:sz w:val="28"/>
          <w:szCs w:val="28"/>
          <w:lang w:val="uk-UA"/>
        </w:rPr>
        <w:t xml:space="preserve"> найбільших платників ПДФО, які забезпечили у звітному періоді надходження понад </w:t>
      </w:r>
      <w:r w:rsidR="007049E1">
        <w:rPr>
          <w:sz w:val="28"/>
          <w:szCs w:val="28"/>
          <w:lang w:val="uk-UA"/>
        </w:rPr>
        <w:t>88,3</w:t>
      </w:r>
      <w:r>
        <w:rPr>
          <w:sz w:val="28"/>
          <w:szCs w:val="28"/>
          <w:lang w:val="uk-UA"/>
        </w:rPr>
        <w:t xml:space="preserve"> </w:t>
      </w:r>
      <w:r w:rsidRPr="00087997">
        <w:rPr>
          <w:sz w:val="28"/>
          <w:szCs w:val="28"/>
          <w:lang w:val="uk-UA"/>
        </w:rPr>
        <w:t xml:space="preserve">% цього податку до </w:t>
      </w:r>
      <w:r>
        <w:rPr>
          <w:sz w:val="28"/>
          <w:szCs w:val="28"/>
          <w:lang w:val="uk-UA"/>
        </w:rPr>
        <w:t xml:space="preserve">сільської  ради </w:t>
      </w:r>
      <w:r w:rsidRPr="00087997">
        <w:rPr>
          <w:sz w:val="28"/>
          <w:szCs w:val="28"/>
          <w:lang w:val="uk-UA"/>
        </w:rPr>
        <w:t>:</w:t>
      </w:r>
    </w:p>
    <w:p w:rsidR="007049E1" w:rsidRDefault="007049E1" w:rsidP="00C41D80">
      <w:pPr>
        <w:ind w:firstLine="851"/>
        <w:jc w:val="both"/>
        <w:rPr>
          <w:sz w:val="28"/>
          <w:szCs w:val="28"/>
          <w:lang w:val="uk-UA"/>
        </w:rPr>
      </w:pPr>
    </w:p>
    <w:p w:rsidR="007049E1" w:rsidRDefault="007049E1" w:rsidP="00C41D80">
      <w:pPr>
        <w:ind w:firstLine="851"/>
        <w:jc w:val="both"/>
        <w:rPr>
          <w:sz w:val="28"/>
          <w:szCs w:val="28"/>
          <w:lang w:val="uk-UA"/>
        </w:rPr>
      </w:pPr>
    </w:p>
    <w:p w:rsidR="00C41D80" w:rsidRDefault="00E94788" w:rsidP="00C41D80">
      <w:pPr>
        <w:ind w:firstLine="851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00625" cy="695325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37AA" w:rsidRDefault="00CB37AA" w:rsidP="00C176F7">
      <w:pPr>
        <w:ind w:firstLine="851"/>
        <w:jc w:val="both"/>
        <w:rPr>
          <w:sz w:val="28"/>
          <w:szCs w:val="28"/>
          <w:lang w:val="uk-UA"/>
        </w:rPr>
      </w:pPr>
    </w:p>
    <w:p w:rsidR="00CB37AA" w:rsidRDefault="00CB37AA" w:rsidP="00C176F7">
      <w:pPr>
        <w:ind w:firstLine="851"/>
        <w:jc w:val="both"/>
        <w:rPr>
          <w:sz w:val="28"/>
          <w:szCs w:val="28"/>
          <w:lang w:val="uk-UA"/>
        </w:rPr>
      </w:pPr>
    </w:p>
    <w:p w:rsidR="00E512D1" w:rsidRDefault="00E512D1" w:rsidP="00C176F7">
      <w:pPr>
        <w:jc w:val="both"/>
        <w:rPr>
          <w:sz w:val="28"/>
          <w:szCs w:val="28"/>
          <w:lang w:val="uk-UA"/>
        </w:rPr>
      </w:pPr>
    </w:p>
    <w:p w:rsidR="007049E1" w:rsidRDefault="007049E1" w:rsidP="00C176F7">
      <w:pPr>
        <w:jc w:val="both"/>
        <w:rPr>
          <w:sz w:val="28"/>
          <w:szCs w:val="28"/>
          <w:lang w:val="uk-UA"/>
        </w:rPr>
      </w:pPr>
    </w:p>
    <w:p w:rsidR="007049E1" w:rsidRDefault="007049E1" w:rsidP="00C176F7">
      <w:pPr>
        <w:jc w:val="both"/>
        <w:rPr>
          <w:sz w:val="28"/>
          <w:szCs w:val="28"/>
          <w:lang w:val="uk-UA"/>
        </w:rPr>
      </w:pPr>
    </w:p>
    <w:p w:rsidR="007049E1" w:rsidRDefault="007049E1" w:rsidP="00C176F7">
      <w:pPr>
        <w:jc w:val="both"/>
        <w:rPr>
          <w:sz w:val="28"/>
          <w:szCs w:val="28"/>
          <w:lang w:val="uk-UA"/>
        </w:rPr>
      </w:pPr>
    </w:p>
    <w:p w:rsidR="007049E1" w:rsidRDefault="007049E1" w:rsidP="00C176F7">
      <w:pPr>
        <w:jc w:val="both"/>
        <w:rPr>
          <w:sz w:val="28"/>
          <w:szCs w:val="28"/>
          <w:lang w:val="uk-UA"/>
        </w:rPr>
      </w:pPr>
    </w:p>
    <w:p w:rsidR="007049E1" w:rsidRDefault="007049E1" w:rsidP="00C176F7">
      <w:pPr>
        <w:jc w:val="both"/>
        <w:rPr>
          <w:sz w:val="28"/>
          <w:szCs w:val="28"/>
          <w:lang w:val="uk-UA"/>
        </w:rPr>
      </w:pPr>
    </w:p>
    <w:p w:rsidR="00241ABB" w:rsidRDefault="00DE26A8" w:rsidP="00C176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176F7">
        <w:rPr>
          <w:sz w:val="28"/>
          <w:szCs w:val="28"/>
          <w:lang w:val="uk-UA"/>
        </w:rPr>
        <w:t xml:space="preserve"> </w:t>
      </w:r>
      <w:r w:rsidR="00241ABB">
        <w:rPr>
          <w:sz w:val="28"/>
          <w:szCs w:val="28"/>
          <w:lang w:val="uk-UA"/>
        </w:rPr>
        <w:t>З</w:t>
      </w:r>
      <w:r w:rsidR="00C176F7" w:rsidRPr="00087997">
        <w:rPr>
          <w:sz w:val="28"/>
          <w:szCs w:val="28"/>
          <w:lang w:val="uk-UA"/>
        </w:rPr>
        <w:t>емельного податку та орендної плати за землю</w:t>
      </w:r>
      <w:r w:rsidR="007049E1">
        <w:rPr>
          <w:sz w:val="28"/>
          <w:szCs w:val="28"/>
          <w:lang w:val="uk-UA"/>
        </w:rPr>
        <w:t>, який становить 10</w:t>
      </w:r>
      <w:r>
        <w:rPr>
          <w:sz w:val="28"/>
          <w:szCs w:val="28"/>
          <w:lang w:val="uk-UA"/>
        </w:rPr>
        <w:t>%</w:t>
      </w:r>
      <w:r w:rsidR="00241ABB">
        <w:rPr>
          <w:sz w:val="28"/>
          <w:szCs w:val="28"/>
          <w:lang w:val="uk-UA"/>
        </w:rPr>
        <w:t xml:space="preserve"> в структурі власних доходів </w:t>
      </w:r>
      <w:r w:rsidR="00241ABB" w:rsidRPr="00087997">
        <w:rPr>
          <w:sz w:val="28"/>
          <w:szCs w:val="28"/>
          <w:lang w:val="uk-UA"/>
        </w:rPr>
        <w:t xml:space="preserve">загального фонду бюджету </w:t>
      </w:r>
      <w:r w:rsidR="00241ABB">
        <w:rPr>
          <w:sz w:val="28"/>
          <w:szCs w:val="28"/>
          <w:lang w:val="uk-UA"/>
        </w:rPr>
        <w:t>сільської територіальної громади</w:t>
      </w:r>
      <w:r w:rsidR="00C176F7" w:rsidRPr="00087997">
        <w:rPr>
          <w:sz w:val="28"/>
          <w:szCs w:val="28"/>
          <w:lang w:val="uk-UA"/>
        </w:rPr>
        <w:t xml:space="preserve"> протягом</w:t>
      </w:r>
      <w:r w:rsidR="007049E1">
        <w:rPr>
          <w:sz w:val="28"/>
          <w:szCs w:val="28"/>
          <w:lang w:val="uk-UA"/>
        </w:rPr>
        <w:t xml:space="preserve"> І кварталу</w:t>
      </w:r>
      <w:r w:rsidR="00C176F7" w:rsidRPr="00087997">
        <w:rPr>
          <w:sz w:val="28"/>
          <w:szCs w:val="28"/>
          <w:lang w:val="uk-UA"/>
        </w:rPr>
        <w:t xml:space="preserve"> </w:t>
      </w:r>
      <w:r w:rsidR="007049E1">
        <w:rPr>
          <w:sz w:val="28"/>
          <w:szCs w:val="28"/>
          <w:lang w:val="uk-UA"/>
        </w:rPr>
        <w:t>2022</w:t>
      </w:r>
      <w:r w:rsidR="00C176F7">
        <w:rPr>
          <w:sz w:val="28"/>
          <w:szCs w:val="28"/>
          <w:lang w:val="uk-UA"/>
        </w:rPr>
        <w:t xml:space="preserve"> </w:t>
      </w:r>
      <w:r w:rsidR="00C176F7" w:rsidRPr="0008799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надійшло у сумі </w:t>
      </w:r>
      <w:r w:rsidR="007049E1">
        <w:rPr>
          <w:b/>
          <w:sz w:val="28"/>
          <w:szCs w:val="28"/>
          <w:lang w:val="uk-UA"/>
        </w:rPr>
        <w:t>641 442,21</w:t>
      </w:r>
      <w:r w:rsidRPr="00DE26A8">
        <w:rPr>
          <w:b/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</w:t>
      </w:r>
      <w:r w:rsidR="00C176F7" w:rsidRPr="00087997">
        <w:rPr>
          <w:sz w:val="28"/>
          <w:szCs w:val="28"/>
          <w:lang w:val="uk-UA"/>
        </w:rPr>
        <w:t>:</w:t>
      </w:r>
      <w:r w:rsidR="00C176F7">
        <w:rPr>
          <w:sz w:val="28"/>
          <w:szCs w:val="28"/>
          <w:lang w:val="uk-UA"/>
        </w:rPr>
        <w:t xml:space="preserve">    </w:t>
      </w:r>
    </w:p>
    <w:p w:rsidR="00E512D1" w:rsidRDefault="00E512D1" w:rsidP="00C176F7">
      <w:pPr>
        <w:jc w:val="both"/>
        <w:rPr>
          <w:sz w:val="28"/>
          <w:szCs w:val="28"/>
          <w:lang w:val="uk-UA"/>
        </w:rPr>
      </w:pPr>
    </w:p>
    <w:p w:rsidR="00E512D1" w:rsidRDefault="00E512D1" w:rsidP="00C176F7">
      <w:pPr>
        <w:jc w:val="both"/>
        <w:rPr>
          <w:sz w:val="28"/>
          <w:szCs w:val="28"/>
          <w:lang w:val="uk-UA"/>
        </w:rPr>
      </w:pPr>
    </w:p>
    <w:p w:rsidR="00E512D1" w:rsidRDefault="00E512D1" w:rsidP="00C176F7">
      <w:pPr>
        <w:jc w:val="both"/>
        <w:rPr>
          <w:sz w:val="28"/>
          <w:szCs w:val="28"/>
          <w:lang w:val="uk-UA"/>
        </w:rPr>
      </w:pPr>
    </w:p>
    <w:p w:rsidR="00D63918" w:rsidRDefault="00DE26A8" w:rsidP="00C176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Надходження </w:t>
      </w:r>
      <w:r w:rsidRPr="00087997">
        <w:rPr>
          <w:sz w:val="28"/>
          <w:szCs w:val="28"/>
          <w:lang w:val="uk-UA"/>
        </w:rPr>
        <w:t xml:space="preserve"> податку у січні-</w:t>
      </w:r>
      <w:r w:rsidR="007049E1">
        <w:rPr>
          <w:sz w:val="28"/>
          <w:szCs w:val="28"/>
          <w:lang w:val="uk-UA"/>
        </w:rPr>
        <w:t>червні</w:t>
      </w:r>
      <w:r>
        <w:rPr>
          <w:sz w:val="28"/>
          <w:szCs w:val="28"/>
          <w:lang w:val="uk-UA"/>
        </w:rPr>
        <w:t xml:space="preserve"> </w:t>
      </w:r>
      <w:r w:rsidRPr="00087997">
        <w:rPr>
          <w:sz w:val="28"/>
          <w:szCs w:val="28"/>
          <w:lang w:val="uk-UA"/>
        </w:rPr>
        <w:t xml:space="preserve">звітного року в розрізі найбільших </w:t>
      </w:r>
      <w:r w:rsidR="00D63918">
        <w:rPr>
          <w:sz w:val="28"/>
          <w:szCs w:val="28"/>
          <w:lang w:val="uk-UA"/>
        </w:rPr>
        <w:t>платників:</w:t>
      </w:r>
    </w:p>
    <w:p w:rsidR="00D63918" w:rsidRDefault="00D63918" w:rsidP="00C176F7">
      <w:pPr>
        <w:jc w:val="both"/>
        <w:rPr>
          <w:sz w:val="28"/>
          <w:szCs w:val="28"/>
          <w:lang w:val="uk-UA"/>
        </w:rPr>
      </w:pPr>
    </w:p>
    <w:p w:rsidR="00241ABB" w:rsidRDefault="00D63918" w:rsidP="00C176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E26A8">
        <w:rPr>
          <w:sz w:val="28"/>
          <w:szCs w:val="28"/>
          <w:lang w:val="uk-UA"/>
        </w:rPr>
        <w:t xml:space="preserve">      </w:t>
      </w:r>
      <w:r w:rsidR="00E94788">
        <w:rPr>
          <w:noProof/>
          <w:sz w:val="28"/>
          <w:szCs w:val="28"/>
        </w:rPr>
        <w:drawing>
          <wp:inline distT="0" distB="0" distL="0" distR="0">
            <wp:extent cx="4191000" cy="3895725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E26A8">
        <w:rPr>
          <w:sz w:val="28"/>
          <w:szCs w:val="28"/>
          <w:lang w:val="uk-UA"/>
        </w:rPr>
        <w:t xml:space="preserve">                                                               </w:t>
      </w:r>
    </w:p>
    <w:p w:rsidR="00D63918" w:rsidRDefault="00C176F7" w:rsidP="00241AB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</w:t>
      </w:r>
    </w:p>
    <w:p w:rsidR="00D63918" w:rsidRDefault="00D63918" w:rsidP="00241ABB">
      <w:pPr>
        <w:jc w:val="both"/>
        <w:rPr>
          <w:sz w:val="28"/>
          <w:szCs w:val="28"/>
        </w:rPr>
      </w:pPr>
    </w:p>
    <w:p w:rsidR="00D63918" w:rsidRDefault="00D63918" w:rsidP="00241ABB">
      <w:pPr>
        <w:jc w:val="both"/>
        <w:rPr>
          <w:sz w:val="28"/>
          <w:szCs w:val="28"/>
        </w:rPr>
      </w:pPr>
    </w:p>
    <w:p w:rsidR="00C176F7" w:rsidRPr="00087997" w:rsidRDefault="00C176F7" w:rsidP="00241A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:rsidR="00C176F7" w:rsidRPr="00087997" w:rsidRDefault="00C176F7" w:rsidP="00C176F7">
      <w:pPr>
        <w:ind w:firstLine="851"/>
        <w:jc w:val="both"/>
        <w:rPr>
          <w:sz w:val="28"/>
          <w:szCs w:val="28"/>
          <w:lang w:val="uk-UA"/>
        </w:rPr>
      </w:pPr>
      <w:r w:rsidRPr="00087997">
        <w:rPr>
          <w:b/>
          <w:sz w:val="28"/>
          <w:szCs w:val="28"/>
          <w:lang w:val="uk-UA"/>
        </w:rPr>
        <w:t>Єдиного податку</w:t>
      </w:r>
      <w:r w:rsidRPr="00087997">
        <w:rPr>
          <w:sz w:val="28"/>
          <w:szCs w:val="28"/>
          <w:lang w:val="uk-UA"/>
        </w:rPr>
        <w:t xml:space="preserve">, який становить </w:t>
      </w:r>
      <w:r w:rsidR="00241ABB">
        <w:rPr>
          <w:sz w:val="28"/>
          <w:szCs w:val="28"/>
          <w:lang w:val="uk-UA"/>
        </w:rPr>
        <w:t>24.</w:t>
      </w:r>
      <w:r w:rsidR="00241ABB" w:rsidRPr="00241ABB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</w:t>
      </w:r>
      <w:r w:rsidRPr="00087997">
        <w:rPr>
          <w:sz w:val="28"/>
          <w:szCs w:val="28"/>
          <w:lang w:val="uk-UA"/>
        </w:rPr>
        <w:t xml:space="preserve">% в структурі власних доходів загального фонду бюджету </w:t>
      </w:r>
      <w:r>
        <w:rPr>
          <w:sz w:val="28"/>
          <w:szCs w:val="28"/>
          <w:lang w:val="uk-UA"/>
        </w:rPr>
        <w:t>сільської</w:t>
      </w:r>
      <w:r w:rsidR="003557CC">
        <w:rPr>
          <w:sz w:val="28"/>
          <w:szCs w:val="28"/>
          <w:lang w:val="uk-UA"/>
        </w:rPr>
        <w:t xml:space="preserve"> територіальної громади, за 9 місяців</w:t>
      </w:r>
      <w:r w:rsidRPr="00087997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6706D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087997">
        <w:rPr>
          <w:sz w:val="28"/>
          <w:szCs w:val="28"/>
          <w:lang w:val="uk-UA"/>
        </w:rPr>
        <w:t xml:space="preserve">році надійшло в сумі </w:t>
      </w:r>
      <w:r w:rsidR="00241ABB">
        <w:rPr>
          <w:b/>
          <w:sz w:val="28"/>
          <w:szCs w:val="28"/>
          <w:lang w:val="uk-UA"/>
        </w:rPr>
        <w:t>2 635 183,73</w:t>
      </w:r>
      <w:r>
        <w:rPr>
          <w:b/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. </w:t>
      </w:r>
    </w:p>
    <w:p w:rsidR="00E512D1" w:rsidRDefault="00C176F7" w:rsidP="00C176F7">
      <w:pPr>
        <w:ind w:firstLine="851"/>
        <w:jc w:val="both"/>
        <w:rPr>
          <w:sz w:val="28"/>
          <w:szCs w:val="28"/>
          <w:lang w:val="uk-UA"/>
        </w:rPr>
      </w:pPr>
      <w:r w:rsidRPr="00087997">
        <w:rPr>
          <w:sz w:val="28"/>
          <w:szCs w:val="28"/>
          <w:lang w:val="uk-UA"/>
        </w:rPr>
        <w:t>Надходження єдиного податку у січні-</w:t>
      </w:r>
      <w:r w:rsidR="003557CC">
        <w:rPr>
          <w:sz w:val="28"/>
          <w:szCs w:val="28"/>
          <w:lang w:val="uk-UA"/>
        </w:rPr>
        <w:t xml:space="preserve">вересні </w:t>
      </w:r>
      <w:r w:rsidRPr="00087997">
        <w:rPr>
          <w:sz w:val="28"/>
          <w:szCs w:val="28"/>
          <w:lang w:val="uk-UA"/>
        </w:rPr>
        <w:t>звітного року в розрізі найбільших платників:</w:t>
      </w:r>
      <w:r>
        <w:rPr>
          <w:sz w:val="28"/>
          <w:szCs w:val="28"/>
          <w:lang w:val="uk-UA"/>
        </w:rPr>
        <w:t xml:space="preserve"> </w:t>
      </w:r>
    </w:p>
    <w:p w:rsidR="00D937BA" w:rsidRDefault="00C176F7" w:rsidP="00C176F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D937BA" w:rsidRDefault="00C176F7" w:rsidP="00E512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10763" w:rsidRDefault="00B10763" w:rsidP="00E512D1">
      <w:pPr>
        <w:jc w:val="both"/>
        <w:rPr>
          <w:sz w:val="28"/>
          <w:szCs w:val="28"/>
          <w:lang w:val="uk-UA"/>
        </w:rPr>
      </w:pPr>
    </w:p>
    <w:p w:rsidR="00B10763" w:rsidRDefault="00B10763" w:rsidP="00E512D1">
      <w:pPr>
        <w:jc w:val="both"/>
        <w:rPr>
          <w:sz w:val="28"/>
          <w:szCs w:val="28"/>
          <w:lang w:val="uk-UA"/>
        </w:rPr>
      </w:pPr>
    </w:p>
    <w:p w:rsidR="00B10763" w:rsidRDefault="00B10763" w:rsidP="00E512D1">
      <w:pPr>
        <w:jc w:val="both"/>
        <w:rPr>
          <w:sz w:val="28"/>
          <w:szCs w:val="28"/>
          <w:lang w:val="uk-UA"/>
        </w:rPr>
      </w:pPr>
    </w:p>
    <w:p w:rsidR="00B10763" w:rsidRDefault="00B10763" w:rsidP="00E512D1">
      <w:pPr>
        <w:jc w:val="both"/>
        <w:rPr>
          <w:sz w:val="28"/>
          <w:szCs w:val="28"/>
          <w:lang w:val="uk-UA"/>
        </w:rPr>
      </w:pPr>
    </w:p>
    <w:p w:rsidR="00B10763" w:rsidRDefault="00B10763" w:rsidP="00E512D1">
      <w:pPr>
        <w:jc w:val="both"/>
        <w:rPr>
          <w:sz w:val="28"/>
          <w:szCs w:val="28"/>
          <w:lang w:val="uk-UA"/>
        </w:rPr>
      </w:pPr>
    </w:p>
    <w:p w:rsidR="00B10763" w:rsidRDefault="00B10763" w:rsidP="00E512D1">
      <w:pPr>
        <w:jc w:val="both"/>
        <w:rPr>
          <w:sz w:val="28"/>
          <w:szCs w:val="28"/>
          <w:lang w:val="uk-UA"/>
        </w:rPr>
      </w:pPr>
    </w:p>
    <w:p w:rsidR="00B10763" w:rsidRDefault="00B10763" w:rsidP="00E512D1">
      <w:pPr>
        <w:jc w:val="both"/>
        <w:rPr>
          <w:sz w:val="28"/>
          <w:szCs w:val="28"/>
          <w:lang w:val="uk-UA"/>
        </w:rPr>
      </w:pPr>
    </w:p>
    <w:p w:rsidR="00B10763" w:rsidRDefault="00B10763" w:rsidP="00E512D1">
      <w:pPr>
        <w:jc w:val="both"/>
        <w:rPr>
          <w:sz w:val="28"/>
          <w:szCs w:val="28"/>
          <w:lang w:val="uk-UA"/>
        </w:rPr>
      </w:pPr>
    </w:p>
    <w:p w:rsidR="00B10763" w:rsidRDefault="00B10763" w:rsidP="00E512D1">
      <w:pPr>
        <w:jc w:val="both"/>
        <w:rPr>
          <w:sz w:val="28"/>
          <w:szCs w:val="28"/>
          <w:lang w:val="uk-UA"/>
        </w:rPr>
      </w:pPr>
    </w:p>
    <w:p w:rsidR="00B10763" w:rsidRDefault="00B10763" w:rsidP="00E512D1">
      <w:pPr>
        <w:jc w:val="both"/>
        <w:rPr>
          <w:sz w:val="28"/>
          <w:szCs w:val="28"/>
          <w:lang w:val="uk-UA"/>
        </w:rPr>
      </w:pPr>
    </w:p>
    <w:p w:rsidR="00B10763" w:rsidRDefault="00B10763" w:rsidP="00E512D1">
      <w:pPr>
        <w:jc w:val="both"/>
        <w:rPr>
          <w:sz w:val="28"/>
          <w:szCs w:val="28"/>
          <w:lang w:val="uk-UA"/>
        </w:rPr>
      </w:pPr>
    </w:p>
    <w:p w:rsidR="00AC4E91" w:rsidRDefault="00AC4E91" w:rsidP="00E512D1">
      <w:pPr>
        <w:jc w:val="both"/>
        <w:rPr>
          <w:sz w:val="28"/>
          <w:szCs w:val="28"/>
          <w:lang w:val="uk-UA"/>
        </w:rPr>
      </w:pPr>
    </w:p>
    <w:p w:rsidR="00AC4E91" w:rsidRDefault="00AC4E91" w:rsidP="00E512D1">
      <w:pPr>
        <w:jc w:val="both"/>
        <w:rPr>
          <w:sz w:val="28"/>
          <w:szCs w:val="28"/>
          <w:lang w:val="uk-UA"/>
        </w:rPr>
      </w:pPr>
    </w:p>
    <w:p w:rsidR="00B10763" w:rsidRDefault="00E94788" w:rsidP="00E512D1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34100" cy="431482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0763" w:rsidRDefault="00B10763" w:rsidP="00E512D1">
      <w:pPr>
        <w:jc w:val="both"/>
        <w:rPr>
          <w:sz w:val="28"/>
          <w:szCs w:val="28"/>
          <w:lang w:val="uk-UA"/>
        </w:rPr>
      </w:pPr>
    </w:p>
    <w:p w:rsidR="00D937BA" w:rsidRDefault="00D937BA" w:rsidP="00B10763">
      <w:pPr>
        <w:jc w:val="both"/>
        <w:rPr>
          <w:sz w:val="28"/>
          <w:szCs w:val="28"/>
          <w:lang w:val="uk-UA"/>
        </w:rPr>
      </w:pPr>
    </w:p>
    <w:p w:rsidR="00B10763" w:rsidRDefault="00B10763" w:rsidP="00B10763">
      <w:pPr>
        <w:jc w:val="both"/>
        <w:rPr>
          <w:sz w:val="28"/>
          <w:szCs w:val="28"/>
          <w:lang w:val="uk-UA"/>
        </w:rPr>
      </w:pPr>
    </w:p>
    <w:p w:rsidR="00B10763" w:rsidRDefault="00B10763" w:rsidP="00B10763">
      <w:pPr>
        <w:jc w:val="both"/>
        <w:rPr>
          <w:sz w:val="28"/>
          <w:szCs w:val="28"/>
          <w:lang w:val="uk-UA"/>
        </w:rPr>
      </w:pPr>
    </w:p>
    <w:p w:rsidR="00D937BA" w:rsidRDefault="00D937BA" w:rsidP="00C176F7">
      <w:pPr>
        <w:ind w:firstLine="851"/>
        <w:jc w:val="both"/>
        <w:rPr>
          <w:sz w:val="28"/>
          <w:szCs w:val="28"/>
          <w:lang w:val="uk-UA"/>
        </w:rPr>
      </w:pPr>
    </w:p>
    <w:p w:rsidR="00D937BA" w:rsidRDefault="00D937BA" w:rsidP="00AC4E91">
      <w:pPr>
        <w:jc w:val="both"/>
        <w:rPr>
          <w:sz w:val="28"/>
          <w:szCs w:val="28"/>
          <w:lang w:val="uk-UA"/>
        </w:rPr>
      </w:pPr>
    </w:p>
    <w:p w:rsidR="00D937BA" w:rsidRDefault="00D937BA" w:rsidP="00C176F7">
      <w:pPr>
        <w:ind w:firstLine="851"/>
        <w:jc w:val="both"/>
        <w:rPr>
          <w:sz w:val="28"/>
          <w:szCs w:val="28"/>
          <w:lang w:val="uk-UA"/>
        </w:rPr>
      </w:pPr>
    </w:p>
    <w:p w:rsidR="00C176F7" w:rsidRPr="007C5BCF" w:rsidRDefault="00DE26A8" w:rsidP="00C176F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  <w:r w:rsidR="00C176F7">
        <w:rPr>
          <w:sz w:val="28"/>
          <w:szCs w:val="28"/>
          <w:lang w:val="uk-UA"/>
        </w:rPr>
        <w:t xml:space="preserve">  </w:t>
      </w:r>
      <w:r w:rsidR="00C176F7" w:rsidRPr="00087997">
        <w:rPr>
          <w:b/>
          <w:sz w:val="28"/>
          <w:szCs w:val="28"/>
          <w:lang w:val="uk-UA"/>
        </w:rPr>
        <w:t xml:space="preserve"> </w:t>
      </w:r>
      <w:r w:rsidR="00C176F7">
        <w:rPr>
          <w:b/>
          <w:sz w:val="28"/>
          <w:szCs w:val="28"/>
          <w:lang w:val="uk-UA"/>
        </w:rPr>
        <w:t xml:space="preserve"> </w:t>
      </w:r>
      <w:r w:rsidR="00C176F7" w:rsidRPr="00087997">
        <w:rPr>
          <w:sz w:val="28"/>
          <w:szCs w:val="28"/>
          <w:lang w:val="uk-UA"/>
        </w:rPr>
        <w:t xml:space="preserve">Із загального обсягу </w:t>
      </w:r>
      <w:r w:rsidR="00C176F7" w:rsidRPr="00087997">
        <w:rPr>
          <w:b/>
          <w:sz w:val="28"/>
          <w:szCs w:val="28"/>
          <w:lang w:val="uk-UA"/>
        </w:rPr>
        <w:t>власних доходів</w:t>
      </w:r>
      <w:r w:rsidR="00C176F7" w:rsidRPr="00087997">
        <w:rPr>
          <w:sz w:val="28"/>
          <w:szCs w:val="28"/>
          <w:lang w:val="uk-UA"/>
        </w:rPr>
        <w:t>, що надійшли протягом</w:t>
      </w:r>
      <w:r w:rsidR="00B10763">
        <w:rPr>
          <w:sz w:val="28"/>
          <w:szCs w:val="28"/>
          <w:lang w:val="uk-UA"/>
        </w:rPr>
        <w:t xml:space="preserve"> І півріччя</w:t>
      </w:r>
      <w:r w:rsidR="00C176F7" w:rsidRPr="00087997">
        <w:rPr>
          <w:sz w:val="28"/>
          <w:szCs w:val="28"/>
          <w:lang w:val="uk-UA"/>
        </w:rPr>
        <w:t xml:space="preserve"> 20</w:t>
      </w:r>
      <w:r w:rsidR="00B10763">
        <w:rPr>
          <w:sz w:val="28"/>
          <w:szCs w:val="28"/>
          <w:lang w:val="uk-UA"/>
        </w:rPr>
        <w:t>22</w:t>
      </w:r>
      <w:r w:rsidR="00C176F7" w:rsidRPr="00087997">
        <w:rPr>
          <w:sz w:val="28"/>
          <w:szCs w:val="28"/>
          <w:lang w:val="uk-UA"/>
        </w:rPr>
        <w:t xml:space="preserve">року </w:t>
      </w:r>
      <w:r w:rsidR="00C176F7" w:rsidRPr="00087997">
        <w:rPr>
          <w:b/>
          <w:sz w:val="28"/>
          <w:szCs w:val="28"/>
          <w:lang w:val="uk-UA"/>
        </w:rPr>
        <w:t>до спеціального фонду</w:t>
      </w:r>
      <w:r w:rsidR="00C176F7" w:rsidRPr="00087997">
        <w:rPr>
          <w:sz w:val="28"/>
          <w:szCs w:val="28"/>
          <w:lang w:val="uk-UA"/>
        </w:rPr>
        <w:t xml:space="preserve"> бюджету </w:t>
      </w:r>
      <w:r w:rsidR="00C176F7">
        <w:rPr>
          <w:sz w:val="28"/>
          <w:szCs w:val="28"/>
          <w:lang w:val="uk-UA"/>
        </w:rPr>
        <w:t>сільської</w:t>
      </w:r>
      <w:r w:rsidR="00C176F7" w:rsidRPr="00087997">
        <w:rPr>
          <w:sz w:val="28"/>
          <w:szCs w:val="28"/>
          <w:lang w:val="uk-UA"/>
        </w:rPr>
        <w:t xml:space="preserve"> територіальної громади в обсязі </w:t>
      </w:r>
      <w:r w:rsidR="00B10763">
        <w:rPr>
          <w:b/>
          <w:sz w:val="28"/>
          <w:szCs w:val="28"/>
          <w:lang w:val="uk-UA"/>
        </w:rPr>
        <w:t>130 406,84</w:t>
      </w:r>
      <w:r w:rsidR="00C176F7">
        <w:rPr>
          <w:b/>
          <w:sz w:val="28"/>
          <w:szCs w:val="28"/>
          <w:lang w:val="uk-UA"/>
        </w:rPr>
        <w:t xml:space="preserve"> </w:t>
      </w:r>
      <w:r w:rsidR="00C176F7" w:rsidRPr="00087997">
        <w:rPr>
          <w:b/>
          <w:sz w:val="28"/>
          <w:szCs w:val="28"/>
          <w:lang w:val="uk-UA"/>
        </w:rPr>
        <w:t>гр</w:t>
      </w:r>
      <w:r w:rsidR="00C176F7">
        <w:rPr>
          <w:b/>
          <w:sz w:val="28"/>
          <w:szCs w:val="28"/>
          <w:lang w:val="uk-UA"/>
        </w:rPr>
        <w:t>н</w:t>
      </w:r>
      <w:r w:rsidR="00C176F7" w:rsidRPr="00087997">
        <w:rPr>
          <w:sz w:val="28"/>
          <w:szCs w:val="28"/>
          <w:lang w:val="uk-UA"/>
        </w:rPr>
        <w:t>:</w:t>
      </w:r>
    </w:p>
    <w:p w:rsidR="00C176F7" w:rsidRPr="00087997" w:rsidRDefault="00C176F7" w:rsidP="00C176F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87997">
        <w:rPr>
          <w:sz w:val="28"/>
          <w:szCs w:val="28"/>
          <w:lang w:val="uk-UA"/>
        </w:rPr>
        <w:t xml:space="preserve"> </w:t>
      </w:r>
      <w:r w:rsidR="00B10763">
        <w:rPr>
          <w:b/>
          <w:sz w:val="28"/>
          <w:szCs w:val="28"/>
          <w:lang w:val="uk-UA"/>
        </w:rPr>
        <w:t>5,5</w:t>
      </w:r>
      <w:r>
        <w:rPr>
          <w:b/>
          <w:sz w:val="28"/>
          <w:szCs w:val="28"/>
          <w:lang w:val="uk-UA"/>
        </w:rPr>
        <w:t xml:space="preserve"> тис.грн.</w:t>
      </w:r>
      <w:r w:rsidRPr="00087997">
        <w:rPr>
          <w:sz w:val="28"/>
          <w:szCs w:val="28"/>
          <w:lang w:val="uk-UA"/>
        </w:rPr>
        <w:t xml:space="preserve"> – надходження </w:t>
      </w:r>
      <w:r w:rsidRPr="00087997">
        <w:rPr>
          <w:b/>
          <w:sz w:val="28"/>
          <w:szCs w:val="28"/>
          <w:lang w:val="uk-UA"/>
        </w:rPr>
        <w:t>екологічного податку</w:t>
      </w:r>
      <w:r w:rsidRPr="00087997">
        <w:rPr>
          <w:sz w:val="28"/>
          <w:szCs w:val="28"/>
          <w:lang w:val="uk-UA"/>
        </w:rPr>
        <w:t>;</w:t>
      </w:r>
    </w:p>
    <w:p w:rsidR="00C176F7" w:rsidRDefault="00B10763" w:rsidP="00C176F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124,9</w:t>
      </w:r>
      <w:r w:rsidR="00C176F7">
        <w:rPr>
          <w:b/>
          <w:sz w:val="28"/>
          <w:szCs w:val="28"/>
          <w:lang w:val="uk-UA"/>
        </w:rPr>
        <w:t xml:space="preserve"> тис. </w:t>
      </w:r>
      <w:r w:rsidR="00C176F7" w:rsidRPr="00087997">
        <w:rPr>
          <w:b/>
          <w:sz w:val="28"/>
          <w:szCs w:val="28"/>
          <w:lang w:val="uk-UA"/>
        </w:rPr>
        <w:t>гр</w:t>
      </w:r>
      <w:r w:rsidR="00C176F7">
        <w:rPr>
          <w:b/>
          <w:sz w:val="28"/>
          <w:szCs w:val="28"/>
          <w:lang w:val="uk-UA"/>
        </w:rPr>
        <w:t>н.</w:t>
      </w:r>
      <w:r w:rsidR="00C176F7" w:rsidRPr="00087997">
        <w:rPr>
          <w:sz w:val="28"/>
          <w:szCs w:val="28"/>
          <w:lang w:val="uk-UA"/>
        </w:rPr>
        <w:t xml:space="preserve"> – </w:t>
      </w:r>
      <w:r w:rsidR="00C176F7" w:rsidRPr="00087997">
        <w:rPr>
          <w:b/>
          <w:sz w:val="28"/>
          <w:szCs w:val="28"/>
          <w:lang w:val="uk-UA"/>
        </w:rPr>
        <w:t>власні надходження бюджетних установ</w:t>
      </w:r>
      <w:r w:rsidR="00C176F7" w:rsidRPr="00087997">
        <w:rPr>
          <w:sz w:val="28"/>
          <w:szCs w:val="28"/>
          <w:lang w:val="uk-UA"/>
        </w:rPr>
        <w:t>.</w:t>
      </w:r>
    </w:p>
    <w:p w:rsidR="00B15662" w:rsidRDefault="00B15662" w:rsidP="00B15662">
      <w:pPr>
        <w:jc w:val="both"/>
        <w:rPr>
          <w:sz w:val="28"/>
          <w:szCs w:val="28"/>
          <w:lang w:val="uk-UA"/>
        </w:rPr>
      </w:pPr>
    </w:p>
    <w:p w:rsidR="00B15662" w:rsidRDefault="00B15662" w:rsidP="00B15662">
      <w:pPr>
        <w:jc w:val="both"/>
        <w:rPr>
          <w:sz w:val="28"/>
          <w:szCs w:val="28"/>
          <w:lang w:val="uk-UA"/>
        </w:rPr>
      </w:pPr>
    </w:p>
    <w:p w:rsidR="00B15662" w:rsidRDefault="00B15662" w:rsidP="00B15662">
      <w:pPr>
        <w:jc w:val="both"/>
        <w:rPr>
          <w:sz w:val="28"/>
          <w:szCs w:val="28"/>
          <w:lang w:val="uk-UA"/>
        </w:rPr>
      </w:pPr>
    </w:p>
    <w:p w:rsidR="00B15662" w:rsidRPr="00B10763" w:rsidRDefault="00B15662" w:rsidP="00B15662">
      <w:pPr>
        <w:jc w:val="both"/>
        <w:rPr>
          <w:sz w:val="28"/>
          <w:szCs w:val="28"/>
        </w:rPr>
      </w:pPr>
    </w:p>
    <w:p w:rsidR="00C176F7" w:rsidRDefault="00C176F7" w:rsidP="00C176F7">
      <w:pPr>
        <w:ind w:firstLine="851"/>
        <w:jc w:val="both"/>
        <w:rPr>
          <w:sz w:val="28"/>
          <w:szCs w:val="28"/>
          <w:lang w:val="uk-UA"/>
        </w:rPr>
      </w:pPr>
      <w:r w:rsidRPr="00087997">
        <w:rPr>
          <w:b/>
          <w:sz w:val="28"/>
          <w:szCs w:val="28"/>
          <w:lang w:val="uk-UA"/>
        </w:rPr>
        <w:t>Видаткову частину</w:t>
      </w:r>
      <w:r w:rsidRPr="00087997"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>сільської</w:t>
      </w:r>
      <w:r w:rsidRPr="00087997">
        <w:rPr>
          <w:sz w:val="28"/>
          <w:szCs w:val="28"/>
          <w:lang w:val="uk-UA"/>
        </w:rPr>
        <w:t xml:space="preserve"> територіальної громади за</w:t>
      </w:r>
      <w:r>
        <w:rPr>
          <w:sz w:val="28"/>
          <w:szCs w:val="28"/>
          <w:lang w:val="uk-UA"/>
        </w:rPr>
        <w:t xml:space="preserve"> І півріччя</w:t>
      </w:r>
      <w:r w:rsidRPr="00087997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F6427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087997">
        <w:rPr>
          <w:sz w:val="28"/>
          <w:szCs w:val="28"/>
          <w:lang w:val="uk-UA"/>
        </w:rPr>
        <w:t xml:space="preserve">рік профінансовано в обсязі </w:t>
      </w:r>
      <w:r w:rsidR="004F7C1D">
        <w:rPr>
          <w:b/>
          <w:sz w:val="28"/>
          <w:szCs w:val="28"/>
          <w:lang w:val="uk-UA"/>
        </w:rPr>
        <w:t>18 691 065,17</w:t>
      </w:r>
      <w:r w:rsidRPr="009700DB">
        <w:rPr>
          <w:sz w:val="28"/>
          <w:szCs w:val="28"/>
          <w:lang w:val="uk-UA"/>
        </w:rPr>
        <w:t xml:space="preserve"> </w:t>
      </w:r>
      <w:r w:rsidRPr="00087997">
        <w:rPr>
          <w:b/>
          <w:sz w:val="28"/>
          <w:szCs w:val="28"/>
          <w:lang w:val="uk-UA"/>
        </w:rPr>
        <w:t>гр</w:t>
      </w:r>
      <w:r>
        <w:rPr>
          <w:b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. </w:t>
      </w:r>
      <w:r w:rsidR="004F7C1D">
        <w:rPr>
          <w:sz w:val="28"/>
          <w:szCs w:val="28"/>
          <w:lang w:val="uk-UA"/>
        </w:rPr>
        <w:t>загального фонду по спеціальному фонду видатки не проводились.</w:t>
      </w:r>
    </w:p>
    <w:p w:rsidR="00AC4E91" w:rsidRDefault="00AC4E91" w:rsidP="00C176F7">
      <w:pPr>
        <w:ind w:firstLine="851"/>
        <w:jc w:val="both"/>
        <w:rPr>
          <w:sz w:val="28"/>
          <w:szCs w:val="28"/>
          <w:lang w:val="uk-UA"/>
        </w:rPr>
      </w:pPr>
    </w:p>
    <w:p w:rsidR="00AC4E91" w:rsidRDefault="00AC4E91" w:rsidP="00C176F7">
      <w:pPr>
        <w:ind w:firstLine="851"/>
        <w:jc w:val="both"/>
        <w:rPr>
          <w:sz w:val="28"/>
          <w:szCs w:val="28"/>
          <w:lang w:val="uk-UA"/>
        </w:rPr>
      </w:pPr>
    </w:p>
    <w:p w:rsidR="00AC4E91" w:rsidRDefault="00AC4E91" w:rsidP="00C176F7">
      <w:pPr>
        <w:ind w:firstLine="851"/>
        <w:jc w:val="both"/>
        <w:rPr>
          <w:sz w:val="28"/>
          <w:szCs w:val="28"/>
          <w:lang w:val="uk-UA"/>
        </w:rPr>
      </w:pPr>
    </w:p>
    <w:p w:rsidR="00AC4E91" w:rsidRDefault="00AC4E91" w:rsidP="00C176F7">
      <w:pPr>
        <w:ind w:firstLine="851"/>
        <w:jc w:val="both"/>
        <w:rPr>
          <w:sz w:val="28"/>
          <w:szCs w:val="28"/>
          <w:lang w:val="uk-UA"/>
        </w:rPr>
      </w:pPr>
    </w:p>
    <w:p w:rsidR="00AC4E91" w:rsidRDefault="00AC4E91" w:rsidP="00C176F7">
      <w:pPr>
        <w:ind w:firstLine="851"/>
        <w:jc w:val="both"/>
        <w:rPr>
          <w:sz w:val="28"/>
          <w:szCs w:val="28"/>
          <w:lang w:val="uk-UA"/>
        </w:rPr>
      </w:pPr>
    </w:p>
    <w:p w:rsidR="00AC4E91" w:rsidRDefault="00AC4E91" w:rsidP="00C176F7">
      <w:pPr>
        <w:ind w:firstLine="851"/>
        <w:jc w:val="both"/>
        <w:rPr>
          <w:sz w:val="28"/>
          <w:szCs w:val="28"/>
          <w:lang w:val="uk-UA"/>
        </w:rPr>
      </w:pPr>
    </w:p>
    <w:p w:rsidR="00AC4E91" w:rsidRDefault="00AC4E91" w:rsidP="00C176F7">
      <w:pPr>
        <w:ind w:firstLine="851"/>
        <w:jc w:val="both"/>
        <w:rPr>
          <w:sz w:val="28"/>
          <w:szCs w:val="28"/>
          <w:lang w:val="uk-UA"/>
        </w:rPr>
      </w:pPr>
    </w:p>
    <w:p w:rsidR="00AC4E91" w:rsidRDefault="00AC4E91" w:rsidP="00C176F7">
      <w:pPr>
        <w:ind w:firstLine="851"/>
        <w:jc w:val="both"/>
        <w:rPr>
          <w:sz w:val="28"/>
          <w:szCs w:val="28"/>
          <w:lang w:val="uk-UA"/>
        </w:rPr>
      </w:pPr>
    </w:p>
    <w:p w:rsidR="00AC4E91" w:rsidRDefault="00AC4E91" w:rsidP="00C176F7">
      <w:pPr>
        <w:ind w:firstLine="851"/>
        <w:jc w:val="both"/>
        <w:rPr>
          <w:sz w:val="28"/>
          <w:szCs w:val="28"/>
          <w:lang w:val="uk-UA"/>
        </w:rPr>
      </w:pPr>
    </w:p>
    <w:p w:rsidR="00AC4E91" w:rsidRDefault="00AC4E91" w:rsidP="00C176F7">
      <w:pPr>
        <w:ind w:firstLine="851"/>
        <w:jc w:val="both"/>
        <w:rPr>
          <w:sz w:val="28"/>
          <w:szCs w:val="28"/>
          <w:lang w:val="uk-UA"/>
        </w:rPr>
      </w:pPr>
    </w:p>
    <w:p w:rsidR="00AC4E91" w:rsidRDefault="00AC4E91" w:rsidP="00C176F7">
      <w:pPr>
        <w:ind w:firstLine="851"/>
        <w:jc w:val="both"/>
        <w:rPr>
          <w:sz w:val="28"/>
          <w:szCs w:val="28"/>
          <w:lang w:val="uk-UA"/>
        </w:rPr>
      </w:pPr>
    </w:p>
    <w:p w:rsidR="006F21E6" w:rsidRDefault="00E94788" w:rsidP="00C176F7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29250" cy="4495800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21E6" w:rsidRPr="003B5923" w:rsidRDefault="006F21E6" w:rsidP="00C176F7">
      <w:pPr>
        <w:ind w:firstLine="851"/>
        <w:jc w:val="both"/>
        <w:rPr>
          <w:sz w:val="28"/>
          <w:szCs w:val="28"/>
          <w:lang w:val="uk-UA"/>
        </w:rPr>
      </w:pPr>
    </w:p>
    <w:p w:rsidR="00C176F7" w:rsidRPr="007B7E71" w:rsidRDefault="00C176F7" w:rsidP="00C176F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7B7E71">
        <w:rPr>
          <w:b/>
          <w:sz w:val="28"/>
          <w:szCs w:val="28"/>
          <w:lang w:val="uk-UA"/>
        </w:rPr>
        <w:t xml:space="preserve">На освітню галузь </w:t>
      </w:r>
      <w:r w:rsidRPr="007B7E71">
        <w:rPr>
          <w:sz w:val="28"/>
          <w:szCs w:val="28"/>
          <w:lang w:val="uk-UA"/>
        </w:rPr>
        <w:t xml:space="preserve">перераховано </w:t>
      </w:r>
      <w:r w:rsidR="004F7C1D" w:rsidRPr="007B7E71">
        <w:rPr>
          <w:b/>
          <w:sz w:val="28"/>
          <w:szCs w:val="28"/>
          <w:lang w:val="uk-UA"/>
        </w:rPr>
        <w:t>14 350 559,06</w:t>
      </w:r>
      <w:r w:rsidRPr="007B7E71">
        <w:rPr>
          <w:b/>
          <w:sz w:val="28"/>
          <w:szCs w:val="28"/>
          <w:lang w:val="uk-UA"/>
        </w:rPr>
        <w:t xml:space="preserve"> грн.</w:t>
      </w:r>
      <w:r w:rsidRPr="007B7E71">
        <w:rPr>
          <w:sz w:val="28"/>
          <w:szCs w:val="28"/>
          <w:lang w:val="uk-UA"/>
        </w:rPr>
        <w:t xml:space="preserve">, що становить </w:t>
      </w:r>
      <w:r w:rsidR="004F7C1D" w:rsidRPr="007B7E71">
        <w:rPr>
          <w:sz w:val="28"/>
          <w:szCs w:val="28"/>
          <w:lang w:val="uk-UA"/>
        </w:rPr>
        <w:t>76,8</w:t>
      </w:r>
      <w:r w:rsidRPr="007B7E71">
        <w:rPr>
          <w:sz w:val="28"/>
          <w:szCs w:val="28"/>
          <w:lang w:val="uk-UA"/>
        </w:rPr>
        <w:t xml:space="preserve"> % із загальних видатків</w:t>
      </w:r>
      <w:r w:rsidR="004F7C1D" w:rsidRPr="007B7E71">
        <w:rPr>
          <w:sz w:val="28"/>
          <w:szCs w:val="28"/>
          <w:lang w:val="uk-UA"/>
        </w:rPr>
        <w:t>.</w:t>
      </w:r>
    </w:p>
    <w:p w:rsidR="00C176F7" w:rsidRPr="007B7E71" w:rsidRDefault="00C176F7" w:rsidP="00813E90">
      <w:pPr>
        <w:jc w:val="both"/>
        <w:rPr>
          <w:sz w:val="28"/>
          <w:szCs w:val="28"/>
          <w:lang w:val="uk-UA"/>
        </w:rPr>
      </w:pPr>
      <w:r w:rsidRPr="007B7E71">
        <w:rPr>
          <w:b/>
          <w:sz w:val="28"/>
          <w:szCs w:val="28"/>
          <w:lang w:val="uk-UA"/>
        </w:rPr>
        <w:t xml:space="preserve">    Державне управління </w:t>
      </w:r>
      <w:r w:rsidRPr="007B7E71">
        <w:rPr>
          <w:sz w:val="28"/>
          <w:szCs w:val="28"/>
          <w:lang w:val="uk-UA"/>
        </w:rPr>
        <w:t xml:space="preserve">перераховано з бюджету </w:t>
      </w:r>
      <w:r w:rsidR="004F7C1D" w:rsidRPr="007B7E71">
        <w:rPr>
          <w:b/>
          <w:bCs/>
          <w:sz w:val="28"/>
          <w:szCs w:val="28"/>
          <w:lang w:val="uk-UA"/>
        </w:rPr>
        <w:t>1 917 461,51</w:t>
      </w:r>
      <w:r w:rsidR="00A504A5" w:rsidRPr="007B7E71">
        <w:rPr>
          <w:b/>
          <w:bCs/>
          <w:sz w:val="28"/>
          <w:szCs w:val="28"/>
          <w:lang w:val="uk-UA"/>
        </w:rPr>
        <w:t xml:space="preserve"> </w:t>
      </w:r>
      <w:r w:rsidRPr="007B7E71">
        <w:rPr>
          <w:b/>
          <w:bCs/>
          <w:sz w:val="28"/>
          <w:szCs w:val="28"/>
          <w:lang w:val="uk-UA"/>
        </w:rPr>
        <w:t xml:space="preserve"> </w:t>
      </w:r>
      <w:r w:rsidRPr="007B7E71">
        <w:rPr>
          <w:sz w:val="28"/>
          <w:szCs w:val="28"/>
          <w:lang w:val="uk-UA"/>
        </w:rPr>
        <w:t xml:space="preserve">грн. </w:t>
      </w:r>
      <w:r w:rsidR="00813E90" w:rsidRPr="007B7E71">
        <w:rPr>
          <w:sz w:val="28"/>
          <w:szCs w:val="28"/>
          <w:lang w:val="uk-UA"/>
        </w:rPr>
        <w:t>загальний фонд.</w:t>
      </w:r>
    </w:p>
    <w:p w:rsidR="00E11E5A" w:rsidRPr="007B7E71" w:rsidRDefault="00C176F7" w:rsidP="00813E90">
      <w:pPr>
        <w:jc w:val="both"/>
        <w:rPr>
          <w:sz w:val="28"/>
          <w:szCs w:val="28"/>
          <w:lang w:val="uk-UA"/>
        </w:rPr>
      </w:pPr>
      <w:r w:rsidRPr="007B7E71">
        <w:rPr>
          <w:b/>
          <w:sz w:val="28"/>
          <w:szCs w:val="28"/>
          <w:lang w:val="uk-UA"/>
        </w:rPr>
        <w:t xml:space="preserve">    Охорона здоров</w:t>
      </w:r>
      <w:r w:rsidRPr="007B7E71">
        <w:rPr>
          <w:b/>
          <w:sz w:val="28"/>
          <w:szCs w:val="28"/>
        </w:rPr>
        <w:t>’</w:t>
      </w:r>
      <w:r w:rsidRPr="007B7E71">
        <w:rPr>
          <w:b/>
          <w:sz w:val="28"/>
          <w:szCs w:val="28"/>
          <w:lang w:val="uk-UA"/>
        </w:rPr>
        <w:t>я</w:t>
      </w:r>
      <w:r w:rsidRPr="007B7E71">
        <w:rPr>
          <w:sz w:val="28"/>
          <w:szCs w:val="28"/>
          <w:lang w:val="uk-UA"/>
        </w:rPr>
        <w:t xml:space="preserve"> </w:t>
      </w:r>
      <w:r w:rsidR="004F7C1D" w:rsidRPr="007B7E71">
        <w:rPr>
          <w:b/>
          <w:sz w:val="28"/>
          <w:szCs w:val="28"/>
          <w:lang w:val="uk-UA"/>
        </w:rPr>
        <w:t>842 568,93</w:t>
      </w:r>
      <w:r w:rsidRPr="007B7E71">
        <w:rPr>
          <w:b/>
          <w:sz w:val="28"/>
          <w:szCs w:val="28"/>
          <w:lang w:val="uk-UA"/>
        </w:rPr>
        <w:t xml:space="preserve"> </w:t>
      </w:r>
      <w:r w:rsidRPr="007B7E71">
        <w:rPr>
          <w:sz w:val="28"/>
          <w:szCs w:val="28"/>
          <w:lang w:val="uk-UA"/>
        </w:rPr>
        <w:t>грн.</w:t>
      </w:r>
      <w:r w:rsidR="00813E90" w:rsidRPr="007B7E71">
        <w:rPr>
          <w:sz w:val="28"/>
          <w:szCs w:val="28"/>
          <w:lang w:val="uk-UA"/>
        </w:rPr>
        <w:t xml:space="preserve"> загальний фонд.</w:t>
      </w:r>
    </w:p>
    <w:p w:rsidR="00A504A5" w:rsidRPr="007B7E71" w:rsidRDefault="00C176F7" w:rsidP="00813E90">
      <w:pPr>
        <w:jc w:val="both"/>
        <w:rPr>
          <w:sz w:val="28"/>
          <w:szCs w:val="28"/>
          <w:lang w:val="uk-UA"/>
        </w:rPr>
      </w:pPr>
      <w:r w:rsidRPr="007B7E71">
        <w:rPr>
          <w:b/>
          <w:noProof/>
          <w:sz w:val="28"/>
          <w:szCs w:val="28"/>
          <w:lang w:val="uk-UA"/>
        </w:rPr>
        <w:t xml:space="preserve">    Соціальний захист та соціальне забезпечення</w:t>
      </w:r>
      <w:r w:rsidRPr="007B7E71">
        <w:rPr>
          <w:noProof/>
          <w:sz w:val="28"/>
          <w:szCs w:val="28"/>
          <w:lang w:val="uk-UA"/>
        </w:rPr>
        <w:t xml:space="preserve"> </w:t>
      </w:r>
      <w:r w:rsidRPr="007B7E71">
        <w:rPr>
          <w:sz w:val="28"/>
          <w:szCs w:val="28"/>
          <w:lang w:val="uk-UA"/>
        </w:rPr>
        <w:t>перераховано з бюджету</w:t>
      </w:r>
      <w:r w:rsidRPr="007B7E71">
        <w:rPr>
          <w:noProof/>
          <w:sz w:val="28"/>
          <w:szCs w:val="28"/>
          <w:lang w:val="uk-UA"/>
        </w:rPr>
        <w:t xml:space="preserve"> </w:t>
      </w:r>
      <w:r w:rsidR="004F7C1D" w:rsidRPr="007B7E71">
        <w:rPr>
          <w:b/>
          <w:bCs/>
          <w:noProof/>
          <w:sz w:val="28"/>
          <w:szCs w:val="28"/>
          <w:lang w:val="uk-UA"/>
        </w:rPr>
        <w:t>94 180,67</w:t>
      </w:r>
      <w:r w:rsidRPr="007B7E71">
        <w:rPr>
          <w:b/>
          <w:bCs/>
          <w:noProof/>
          <w:sz w:val="28"/>
          <w:szCs w:val="28"/>
          <w:lang w:val="uk-UA"/>
        </w:rPr>
        <w:t xml:space="preserve"> </w:t>
      </w:r>
      <w:r w:rsidRPr="007B7E71">
        <w:rPr>
          <w:b/>
          <w:noProof/>
          <w:sz w:val="28"/>
          <w:szCs w:val="28"/>
          <w:lang w:val="uk-UA"/>
        </w:rPr>
        <w:t>грн</w:t>
      </w:r>
      <w:r w:rsidRPr="007B7E71">
        <w:rPr>
          <w:noProof/>
          <w:sz w:val="28"/>
          <w:szCs w:val="28"/>
          <w:lang w:val="uk-UA"/>
        </w:rPr>
        <w:t>.</w:t>
      </w:r>
      <w:r w:rsidR="00813E90" w:rsidRPr="007B7E71">
        <w:rPr>
          <w:sz w:val="28"/>
          <w:szCs w:val="28"/>
          <w:lang w:val="uk-UA"/>
        </w:rPr>
        <w:t xml:space="preserve"> загальний фонд.</w:t>
      </w:r>
    </w:p>
    <w:p w:rsidR="00C176F7" w:rsidRPr="007B7E71" w:rsidRDefault="00C176F7" w:rsidP="00813E90">
      <w:pPr>
        <w:jc w:val="both"/>
        <w:rPr>
          <w:sz w:val="28"/>
          <w:szCs w:val="28"/>
          <w:lang w:val="uk-UA"/>
        </w:rPr>
      </w:pPr>
      <w:r w:rsidRPr="007B7E71">
        <w:rPr>
          <w:b/>
          <w:sz w:val="28"/>
          <w:szCs w:val="28"/>
          <w:lang w:val="uk-UA"/>
        </w:rPr>
        <w:t xml:space="preserve">    Житлово-комунальне господарство </w:t>
      </w:r>
      <w:r w:rsidRPr="007B7E71">
        <w:rPr>
          <w:sz w:val="28"/>
          <w:szCs w:val="28"/>
          <w:lang w:val="uk-UA"/>
        </w:rPr>
        <w:t xml:space="preserve">перераховано з бюджету </w:t>
      </w:r>
      <w:r w:rsidR="004F7C1D" w:rsidRPr="007B7E71">
        <w:rPr>
          <w:b/>
          <w:sz w:val="28"/>
          <w:szCs w:val="28"/>
          <w:lang w:val="uk-UA"/>
        </w:rPr>
        <w:t>339 559,01</w:t>
      </w:r>
      <w:r w:rsidRPr="007B7E71">
        <w:rPr>
          <w:b/>
          <w:sz w:val="28"/>
          <w:szCs w:val="28"/>
          <w:lang w:val="uk-UA"/>
        </w:rPr>
        <w:t xml:space="preserve"> </w:t>
      </w:r>
      <w:r w:rsidRPr="007B7E71">
        <w:rPr>
          <w:sz w:val="28"/>
          <w:szCs w:val="28"/>
          <w:lang w:val="uk-UA"/>
        </w:rPr>
        <w:t>грн.</w:t>
      </w:r>
      <w:r w:rsidR="00813E90" w:rsidRPr="007B7E71">
        <w:rPr>
          <w:sz w:val="28"/>
          <w:szCs w:val="28"/>
          <w:lang w:val="uk-UA"/>
        </w:rPr>
        <w:t xml:space="preserve"> загальний фонд.</w:t>
      </w:r>
    </w:p>
    <w:p w:rsidR="00C176F7" w:rsidRPr="007B7E71" w:rsidRDefault="00C176F7" w:rsidP="00813E90">
      <w:pPr>
        <w:jc w:val="both"/>
        <w:rPr>
          <w:sz w:val="28"/>
          <w:szCs w:val="28"/>
          <w:lang w:val="uk-UA"/>
        </w:rPr>
      </w:pPr>
      <w:r w:rsidRPr="007B7E71">
        <w:rPr>
          <w:b/>
          <w:sz w:val="28"/>
          <w:szCs w:val="28"/>
          <w:lang w:val="uk-UA"/>
        </w:rPr>
        <w:t xml:space="preserve">    Культура i мистецтво </w:t>
      </w:r>
      <w:r w:rsidRPr="007B7E71">
        <w:rPr>
          <w:sz w:val="28"/>
          <w:szCs w:val="28"/>
          <w:lang w:val="uk-UA"/>
        </w:rPr>
        <w:t xml:space="preserve">перераховано з бюджету </w:t>
      </w:r>
      <w:r w:rsidR="004F7C1D" w:rsidRPr="007B7E71">
        <w:rPr>
          <w:b/>
          <w:sz w:val="28"/>
          <w:szCs w:val="28"/>
          <w:lang w:val="uk-UA"/>
        </w:rPr>
        <w:t>700 977,57</w:t>
      </w:r>
      <w:r w:rsidRPr="007B7E71">
        <w:rPr>
          <w:b/>
          <w:sz w:val="28"/>
          <w:szCs w:val="28"/>
          <w:lang w:val="uk-UA"/>
        </w:rPr>
        <w:t xml:space="preserve"> </w:t>
      </w:r>
      <w:r w:rsidRPr="007B7E71">
        <w:rPr>
          <w:sz w:val="28"/>
          <w:szCs w:val="28"/>
          <w:lang w:val="uk-UA"/>
        </w:rPr>
        <w:t>грн.</w:t>
      </w:r>
      <w:r w:rsidR="00813E90" w:rsidRPr="007B7E71">
        <w:rPr>
          <w:sz w:val="28"/>
          <w:szCs w:val="28"/>
          <w:lang w:val="uk-UA"/>
        </w:rPr>
        <w:t xml:space="preserve"> загальний фонд.</w:t>
      </w:r>
    </w:p>
    <w:p w:rsidR="00C176F7" w:rsidRPr="007B7E71" w:rsidRDefault="00C176F7" w:rsidP="00C176F7">
      <w:pPr>
        <w:jc w:val="both"/>
        <w:rPr>
          <w:sz w:val="28"/>
          <w:szCs w:val="28"/>
          <w:lang w:val="uk-UA"/>
        </w:rPr>
      </w:pPr>
      <w:r w:rsidRPr="007B7E71">
        <w:rPr>
          <w:b/>
          <w:sz w:val="28"/>
          <w:szCs w:val="28"/>
          <w:lang w:val="uk-UA"/>
        </w:rPr>
        <w:t xml:space="preserve">    Економічна діяльність </w:t>
      </w:r>
      <w:r w:rsidRPr="007B7E71">
        <w:rPr>
          <w:sz w:val="28"/>
          <w:szCs w:val="28"/>
          <w:lang w:val="uk-UA"/>
        </w:rPr>
        <w:t xml:space="preserve">перераховано з бюджету </w:t>
      </w:r>
      <w:r w:rsidR="004F7C1D" w:rsidRPr="007B7E71">
        <w:rPr>
          <w:b/>
          <w:sz w:val="28"/>
          <w:szCs w:val="28"/>
          <w:lang w:val="uk-UA"/>
        </w:rPr>
        <w:t>260 857,21</w:t>
      </w:r>
      <w:r w:rsidRPr="007B7E71">
        <w:rPr>
          <w:b/>
          <w:sz w:val="28"/>
          <w:szCs w:val="28"/>
          <w:lang w:val="uk-UA"/>
        </w:rPr>
        <w:t xml:space="preserve"> </w:t>
      </w:r>
      <w:r w:rsidRPr="007B7E71">
        <w:rPr>
          <w:sz w:val="28"/>
          <w:szCs w:val="28"/>
          <w:lang w:val="uk-UA"/>
        </w:rPr>
        <w:t>грн.</w:t>
      </w:r>
      <w:r w:rsidR="00813E90" w:rsidRPr="007B7E71">
        <w:rPr>
          <w:sz w:val="28"/>
          <w:szCs w:val="28"/>
          <w:lang w:val="uk-UA"/>
        </w:rPr>
        <w:t xml:space="preserve"> загальний фонд </w:t>
      </w:r>
    </w:p>
    <w:p w:rsidR="00C176F7" w:rsidRPr="007B7E71" w:rsidRDefault="00C176F7" w:rsidP="00C176F7">
      <w:pPr>
        <w:jc w:val="both"/>
        <w:rPr>
          <w:sz w:val="28"/>
          <w:szCs w:val="28"/>
          <w:lang w:val="uk-UA"/>
        </w:rPr>
      </w:pPr>
      <w:r w:rsidRPr="007B7E71">
        <w:rPr>
          <w:b/>
          <w:sz w:val="28"/>
          <w:szCs w:val="28"/>
          <w:lang w:val="uk-UA"/>
        </w:rPr>
        <w:t xml:space="preserve">    Міжбюджетні трансферти </w:t>
      </w:r>
      <w:r w:rsidRPr="007B7E71">
        <w:rPr>
          <w:sz w:val="28"/>
          <w:szCs w:val="28"/>
          <w:lang w:val="uk-UA"/>
        </w:rPr>
        <w:t xml:space="preserve">перераховано з бюджету </w:t>
      </w:r>
      <w:r w:rsidR="004F7C1D" w:rsidRPr="007B7E71">
        <w:rPr>
          <w:b/>
          <w:sz w:val="28"/>
          <w:szCs w:val="28"/>
          <w:lang w:val="uk-UA"/>
        </w:rPr>
        <w:t>141 000,00</w:t>
      </w:r>
      <w:r w:rsidRPr="007B7E71">
        <w:rPr>
          <w:b/>
          <w:sz w:val="28"/>
          <w:szCs w:val="28"/>
          <w:lang w:val="uk-UA"/>
        </w:rPr>
        <w:t xml:space="preserve"> </w:t>
      </w:r>
      <w:r w:rsidRPr="007B7E71">
        <w:rPr>
          <w:sz w:val="28"/>
          <w:szCs w:val="28"/>
          <w:lang w:val="uk-UA"/>
        </w:rPr>
        <w:t>грн.</w:t>
      </w:r>
      <w:r w:rsidR="00A504A5" w:rsidRPr="007B7E71">
        <w:rPr>
          <w:sz w:val="28"/>
          <w:szCs w:val="28"/>
          <w:lang w:val="uk-UA"/>
        </w:rPr>
        <w:t xml:space="preserve"> загальний фонд </w:t>
      </w:r>
    </w:p>
    <w:p w:rsidR="00C176F7" w:rsidRPr="007B7E71" w:rsidRDefault="00C176F7" w:rsidP="004F7C1D">
      <w:pPr>
        <w:jc w:val="both"/>
        <w:rPr>
          <w:sz w:val="28"/>
          <w:szCs w:val="28"/>
          <w:lang w:val="uk-UA"/>
        </w:rPr>
      </w:pPr>
      <w:r w:rsidRPr="007B7E71">
        <w:rPr>
          <w:b/>
          <w:sz w:val="28"/>
          <w:szCs w:val="28"/>
          <w:lang w:val="uk-UA"/>
        </w:rPr>
        <w:t xml:space="preserve">    </w:t>
      </w:r>
      <w:r w:rsidR="004F7C1D" w:rsidRPr="007B7E71">
        <w:rPr>
          <w:b/>
          <w:sz w:val="28"/>
          <w:szCs w:val="28"/>
          <w:lang w:val="uk-UA"/>
        </w:rPr>
        <w:t xml:space="preserve">Інша діяльність </w:t>
      </w:r>
      <w:r w:rsidR="004F7C1D" w:rsidRPr="007B7E71">
        <w:rPr>
          <w:sz w:val="28"/>
          <w:szCs w:val="28"/>
          <w:lang w:val="uk-UA"/>
        </w:rPr>
        <w:t xml:space="preserve">перераховано з бюджету </w:t>
      </w:r>
      <w:r w:rsidR="004F7C1D" w:rsidRPr="007B7E71">
        <w:rPr>
          <w:b/>
          <w:sz w:val="28"/>
          <w:szCs w:val="28"/>
          <w:lang w:val="uk-UA"/>
        </w:rPr>
        <w:t xml:space="preserve">43 901,51 </w:t>
      </w:r>
      <w:r w:rsidR="004F7C1D" w:rsidRPr="007B7E71">
        <w:rPr>
          <w:sz w:val="28"/>
          <w:szCs w:val="28"/>
          <w:lang w:val="uk-UA"/>
        </w:rPr>
        <w:t>грн. загальний фонд</w:t>
      </w:r>
    </w:p>
    <w:p w:rsidR="00C176F7" w:rsidRPr="00087997" w:rsidRDefault="00C176F7" w:rsidP="00C176F7">
      <w:pPr>
        <w:ind w:firstLine="851"/>
        <w:jc w:val="both"/>
        <w:rPr>
          <w:sz w:val="28"/>
          <w:szCs w:val="28"/>
          <w:lang w:val="uk-UA"/>
        </w:rPr>
      </w:pPr>
    </w:p>
    <w:p w:rsidR="00C176F7" w:rsidRPr="00087997" w:rsidRDefault="00C176F7" w:rsidP="00C176F7">
      <w:pPr>
        <w:jc w:val="both"/>
        <w:rPr>
          <w:sz w:val="28"/>
          <w:szCs w:val="28"/>
          <w:lang w:val="uk-UA"/>
        </w:rPr>
      </w:pPr>
    </w:p>
    <w:p w:rsidR="00C176F7" w:rsidRDefault="00C176F7" w:rsidP="00C176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Начальник  відділу                                  Ольга ГАНЖА</w:t>
      </w:r>
    </w:p>
    <w:p w:rsidR="009F7B29" w:rsidRDefault="009F7B29" w:rsidP="00C176F7">
      <w:pPr>
        <w:jc w:val="both"/>
        <w:rPr>
          <w:sz w:val="28"/>
          <w:szCs w:val="28"/>
          <w:lang w:val="uk-UA"/>
        </w:rPr>
      </w:pPr>
    </w:p>
    <w:p w:rsidR="009F7B29" w:rsidRDefault="009F7B29" w:rsidP="00C176F7">
      <w:pPr>
        <w:jc w:val="both"/>
        <w:rPr>
          <w:sz w:val="28"/>
          <w:szCs w:val="28"/>
          <w:lang w:val="uk-UA"/>
        </w:rPr>
      </w:pPr>
    </w:p>
    <w:p w:rsidR="009F7B29" w:rsidRPr="00C176F7" w:rsidRDefault="009F7B29" w:rsidP="00C176F7">
      <w:pPr>
        <w:jc w:val="both"/>
        <w:rPr>
          <w:sz w:val="28"/>
          <w:szCs w:val="28"/>
          <w:lang w:val="uk-UA"/>
        </w:rPr>
      </w:pPr>
    </w:p>
    <w:sectPr w:rsidR="009F7B29" w:rsidRPr="00C176F7" w:rsidSect="00E512D1">
      <w:pgSz w:w="11906" w:h="16838"/>
      <w:pgMar w:top="0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4CED"/>
    <w:multiLevelType w:val="hybridMultilevel"/>
    <w:tmpl w:val="76F63432"/>
    <w:lvl w:ilvl="0" w:tplc="ABCAED0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59232A6"/>
    <w:multiLevelType w:val="hybridMultilevel"/>
    <w:tmpl w:val="951CEA56"/>
    <w:lvl w:ilvl="0" w:tplc="A5C4D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961B3C"/>
    <w:multiLevelType w:val="hybridMultilevel"/>
    <w:tmpl w:val="F01A9D72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C26EE"/>
    <w:rsid w:val="00002F65"/>
    <w:rsid w:val="00012B60"/>
    <w:rsid w:val="0003328C"/>
    <w:rsid w:val="00036A01"/>
    <w:rsid w:val="000553B9"/>
    <w:rsid w:val="000840DA"/>
    <w:rsid w:val="000A0894"/>
    <w:rsid w:val="000B684B"/>
    <w:rsid w:val="000C7190"/>
    <w:rsid w:val="0013313C"/>
    <w:rsid w:val="00170FAB"/>
    <w:rsid w:val="00190AE3"/>
    <w:rsid w:val="00192210"/>
    <w:rsid w:val="001A683B"/>
    <w:rsid w:val="001F1E12"/>
    <w:rsid w:val="00241ABB"/>
    <w:rsid w:val="00292BE5"/>
    <w:rsid w:val="002A1D74"/>
    <w:rsid w:val="002F1C86"/>
    <w:rsid w:val="00300692"/>
    <w:rsid w:val="0030453D"/>
    <w:rsid w:val="003241C4"/>
    <w:rsid w:val="00327BCD"/>
    <w:rsid w:val="00337BAF"/>
    <w:rsid w:val="003422F4"/>
    <w:rsid w:val="003557CC"/>
    <w:rsid w:val="00356171"/>
    <w:rsid w:val="003824EE"/>
    <w:rsid w:val="00392E81"/>
    <w:rsid w:val="00394D58"/>
    <w:rsid w:val="00396C6F"/>
    <w:rsid w:val="003A3963"/>
    <w:rsid w:val="003A6263"/>
    <w:rsid w:val="003C1CAB"/>
    <w:rsid w:val="003F2D0B"/>
    <w:rsid w:val="00424B3C"/>
    <w:rsid w:val="00456B19"/>
    <w:rsid w:val="00472960"/>
    <w:rsid w:val="00474B85"/>
    <w:rsid w:val="00481E74"/>
    <w:rsid w:val="00487BBD"/>
    <w:rsid w:val="00495E52"/>
    <w:rsid w:val="00497E98"/>
    <w:rsid w:val="004A04E4"/>
    <w:rsid w:val="004B748D"/>
    <w:rsid w:val="004F7C1D"/>
    <w:rsid w:val="00504E2D"/>
    <w:rsid w:val="00521F5C"/>
    <w:rsid w:val="005335BB"/>
    <w:rsid w:val="005573C2"/>
    <w:rsid w:val="00572D35"/>
    <w:rsid w:val="00573B12"/>
    <w:rsid w:val="00585D0F"/>
    <w:rsid w:val="0058669C"/>
    <w:rsid w:val="005F7A0C"/>
    <w:rsid w:val="006062F1"/>
    <w:rsid w:val="00617037"/>
    <w:rsid w:val="00624FBE"/>
    <w:rsid w:val="00634410"/>
    <w:rsid w:val="00641262"/>
    <w:rsid w:val="00645F4A"/>
    <w:rsid w:val="00660D9E"/>
    <w:rsid w:val="00661449"/>
    <w:rsid w:val="006667DF"/>
    <w:rsid w:val="00667506"/>
    <w:rsid w:val="006706D8"/>
    <w:rsid w:val="00683DAB"/>
    <w:rsid w:val="00692581"/>
    <w:rsid w:val="006B56D4"/>
    <w:rsid w:val="006B5B36"/>
    <w:rsid w:val="006B68E6"/>
    <w:rsid w:val="006C26EE"/>
    <w:rsid w:val="006F1E19"/>
    <w:rsid w:val="006F21E6"/>
    <w:rsid w:val="007049E1"/>
    <w:rsid w:val="0070722C"/>
    <w:rsid w:val="0070728C"/>
    <w:rsid w:val="00713D6A"/>
    <w:rsid w:val="0073551C"/>
    <w:rsid w:val="0074397F"/>
    <w:rsid w:val="00755CDB"/>
    <w:rsid w:val="00777D1D"/>
    <w:rsid w:val="007913AF"/>
    <w:rsid w:val="007A111A"/>
    <w:rsid w:val="007A6EAA"/>
    <w:rsid w:val="007B7E71"/>
    <w:rsid w:val="007C10D0"/>
    <w:rsid w:val="007D125A"/>
    <w:rsid w:val="007E63F9"/>
    <w:rsid w:val="007F3CD5"/>
    <w:rsid w:val="008048C4"/>
    <w:rsid w:val="00813E90"/>
    <w:rsid w:val="008411A3"/>
    <w:rsid w:val="00862ABF"/>
    <w:rsid w:val="00866DA3"/>
    <w:rsid w:val="0088482A"/>
    <w:rsid w:val="0089164F"/>
    <w:rsid w:val="008B0830"/>
    <w:rsid w:val="008C1498"/>
    <w:rsid w:val="008D0E1C"/>
    <w:rsid w:val="008E6038"/>
    <w:rsid w:val="009101BA"/>
    <w:rsid w:val="009700DB"/>
    <w:rsid w:val="009950DB"/>
    <w:rsid w:val="009A4CC0"/>
    <w:rsid w:val="009C5DA0"/>
    <w:rsid w:val="009D23BD"/>
    <w:rsid w:val="009E0BD5"/>
    <w:rsid w:val="009F7B29"/>
    <w:rsid w:val="009F7FC4"/>
    <w:rsid w:val="00A058B8"/>
    <w:rsid w:val="00A504A5"/>
    <w:rsid w:val="00A541E9"/>
    <w:rsid w:val="00A758A9"/>
    <w:rsid w:val="00A831DC"/>
    <w:rsid w:val="00A841E8"/>
    <w:rsid w:val="00A91ED3"/>
    <w:rsid w:val="00AC4E91"/>
    <w:rsid w:val="00AC51D8"/>
    <w:rsid w:val="00AD090C"/>
    <w:rsid w:val="00AD36A7"/>
    <w:rsid w:val="00AD3E78"/>
    <w:rsid w:val="00AF5C90"/>
    <w:rsid w:val="00B10763"/>
    <w:rsid w:val="00B112D1"/>
    <w:rsid w:val="00B15662"/>
    <w:rsid w:val="00B20D4A"/>
    <w:rsid w:val="00B2528E"/>
    <w:rsid w:val="00B73531"/>
    <w:rsid w:val="00B75359"/>
    <w:rsid w:val="00B87C77"/>
    <w:rsid w:val="00BA4310"/>
    <w:rsid w:val="00BA7522"/>
    <w:rsid w:val="00BD2E1C"/>
    <w:rsid w:val="00C016AD"/>
    <w:rsid w:val="00C04C8A"/>
    <w:rsid w:val="00C154B8"/>
    <w:rsid w:val="00C176F7"/>
    <w:rsid w:val="00C41D80"/>
    <w:rsid w:val="00C5672B"/>
    <w:rsid w:val="00C940A8"/>
    <w:rsid w:val="00CA57E2"/>
    <w:rsid w:val="00CB37AA"/>
    <w:rsid w:val="00CC6B5B"/>
    <w:rsid w:val="00CE108A"/>
    <w:rsid w:val="00CF007E"/>
    <w:rsid w:val="00CF3A0E"/>
    <w:rsid w:val="00CF6C8B"/>
    <w:rsid w:val="00D033DB"/>
    <w:rsid w:val="00D47FE3"/>
    <w:rsid w:val="00D63918"/>
    <w:rsid w:val="00D937BA"/>
    <w:rsid w:val="00DB3D63"/>
    <w:rsid w:val="00DE26A8"/>
    <w:rsid w:val="00E02CB7"/>
    <w:rsid w:val="00E0407A"/>
    <w:rsid w:val="00E11E5A"/>
    <w:rsid w:val="00E2380D"/>
    <w:rsid w:val="00E446D3"/>
    <w:rsid w:val="00E512D1"/>
    <w:rsid w:val="00E51980"/>
    <w:rsid w:val="00E858CA"/>
    <w:rsid w:val="00E94788"/>
    <w:rsid w:val="00E97CEC"/>
    <w:rsid w:val="00ED6358"/>
    <w:rsid w:val="00EF2964"/>
    <w:rsid w:val="00F14342"/>
    <w:rsid w:val="00F14D93"/>
    <w:rsid w:val="00F50F22"/>
    <w:rsid w:val="00F54067"/>
    <w:rsid w:val="00F6427C"/>
    <w:rsid w:val="00F71B37"/>
    <w:rsid w:val="00F734B7"/>
    <w:rsid w:val="00F74F7D"/>
    <w:rsid w:val="00FA3623"/>
    <w:rsid w:val="00FA4794"/>
    <w:rsid w:val="00FC2ADF"/>
    <w:rsid w:val="00FD64DF"/>
    <w:rsid w:val="00FE0D07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14D93"/>
    <w:pPr>
      <w:keepNext/>
      <w:jc w:val="center"/>
      <w:outlineLvl w:val="0"/>
    </w:pPr>
    <w:rPr>
      <w:b/>
      <w:sz w:val="32"/>
      <w:szCs w:val="20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F14D93"/>
    <w:pPr>
      <w:jc w:val="center"/>
    </w:pPr>
    <w:rPr>
      <w:sz w:val="32"/>
      <w:szCs w:val="20"/>
      <w:lang w:val="uk-UA" w:eastAsia="uk-UA"/>
    </w:rPr>
  </w:style>
  <w:style w:type="paragraph" w:styleId="a4">
    <w:name w:val="Subtitle"/>
    <w:basedOn w:val="a"/>
    <w:qFormat/>
    <w:rsid w:val="00F14D93"/>
    <w:pPr>
      <w:jc w:val="center"/>
    </w:pPr>
    <w:rPr>
      <w:sz w:val="28"/>
      <w:szCs w:val="20"/>
      <w:lang w:val="uk-UA" w:eastAsia="uk-UA"/>
    </w:rPr>
  </w:style>
  <w:style w:type="paragraph" w:styleId="a5">
    <w:name w:val="Balloon Text"/>
    <w:basedOn w:val="a"/>
    <w:link w:val="a6"/>
    <w:rsid w:val="003C1C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C1CAB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caption"/>
    <w:basedOn w:val="a"/>
    <w:next w:val="a"/>
    <w:unhideWhenUsed/>
    <w:qFormat/>
    <w:rsid w:val="00E51980"/>
    <w:rPr>
      <w:b/>
      <w:bCs/>
      <w:sz w:val="20"/>
      <w:szCs w:val="20"/>
    </w:rPr>
  </w:style>
  <w:style w:type="character" w:styleId="a8">
    <w:name w:val="annotation reference"/>
    <w:rsid w:val="00E51980"/>
    <w:rPr>
      <w:sz w:val="16"/>
      <w:szCs w:val="16"/>
    </w:rPr>
  </w:style>
  <w:style w:type="paragraph" w:styleId="a9">
    <w:name w:val="annotation text"/>
    <w:basedOn w:val="a"/>
    <w:link w:val="aa"/>
    <w:rsid w:val="00E51980"/>
    <w:rPr>
      <w:sz w:val="20"/>
      <w:szCs w:val="20"/>
    </w:rPr>
  </w:style>
  <w:style w:type="character" w:customStyle="1" w:styleId="aa">
    <w:name w:val="Текст примечания Знак"/>
    <w:link w:val="a9"/>
    <w:rsid w:val="00E51980"/>
    <w:rPr>
      <w:lang w:val="ru-RU" w:eastAsia="ru-RU"/>
    </w:rPr>
  </w:style>
  <w:style w:type="paragraph" w:styleId="ab">
    <w:name w:val="annotation subject"/>
    <w:basedOn w:val="a9"/>
    <w:next w:val="a9"/>
    <w:link w:val="ac"/>
    <w:rsid w:val="00E51980"/>
    <w:rPr>
      <w:b/>
      <w:bCs/>
    </w:rPr>
  </w:style>
  <w:style w:type="character" w:customStyle="1" w:styleId="ac">
    <w:name w:val="Тема примечания Знак"/>
    <w:link w:val="ab"/>
    <w:rsid w:val="00E51980"/>
    <w:rPr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dirty="0"/>
              <a:t>Доходи </a:t>
            </a:r>
            <a:r>
              <a:rPr lang="ru-RU" dirty="0" err="1"/>
              <a:t>загального</a:t>
            </a:r>
            <a:r>
              <a:rPr lang="ru-RU" dirty="0"/>
              <a:t> фонду бюджету за </a:t>
            </a:r>
            <a:r>
              <a:rPr lang="uk-UA" dirty="0" smtClean="0"/>
              <a:t>І</a:t>
            </a:r>
            <a:r>
              <a:rPr lang="uk-UA" baseline="0" dirty="0" smtClean="0"/>
              <a:t> півріччя 2022</a:t>
            </a:r>
            <a:r>
              <a:rPr lang="ru-RU" dirty="0" smtClean="0"/>
              <a:t>р</a:t>
            </a:r>
            <a:endParaRPr lang="ru-RU" dirty="0"/>
          </a:p>
        </c:rich>
      </c:tx>
      <c:spPr>
        <a:noFill/>
        <a:ln w="25400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0.20290024869925496"/>
          <c:y val="0.10978206161297782"/>
          <c:w val="0.5755900820977552"/>
          <c:h val="0.69607912016765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Доходи загального фонду бюджету за І квартал 2021р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tint val="96000"/>
                      <a:lumMod val="100000"/>
                    </a:schemeClr>
                  </a:gs>
                  <a:gs pos="78000">
                    <a:schemeClr val="accent1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96000"/>
                      <a:lumMod val="100000"/>
                    </a:schemeClr>
                  </a:gs>
                  <a:gs pos="78000">
                    <a:schemeClr val="accent2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96000"/>
                      <a:lumMod val="100000"/>
                    </a:schemeClr>
                  </a:gs>
                  <a:gs pos="78000">
                    <a:schemeClr val="accent3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tint val="96000"/>
                      <a:lumMod val="100000"/>
                    </a:schemeClr>
                  </a:gs>
                  <a:gs pos="78000">
                    <a:schemeClr val="accent4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tint val="96000"/>
                      <a:lumMod val="100000"/>
                    </a:schemeClr>
                  </a:gs>
                  <a:gs pos="78000">
                    <a:schemeClr val="accent5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5"/>
            <c:spPr>
              <a:gradFill rotWithShape="1">
                <a:gsLst>
                  <a:gs pos="0">
                    <a:schemeClr val="accent6">
                      <a:tint val="96000"/>
                      <a:lumMod val="100000"/>
                    </a:schemeClr>
                  </a:gs>
                  <a:gs pos="78000">
                    <a:schemeClr val="accent6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tint val="96000"/>
                      <a:lumMod val="100000"/>
                    </a:schemeClr>
                  </a:gs>
                  <a:gs pos="78000">
                    <a:schemeClr val="accent1">
                      <a:lumMod val="60000"/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Lbls>
            <c:dLbl>
              <c:idx val="0"/>
              <c:layout>
                <c:manualLayout>
                  <c:x val="-0.20106790805811453"/>
                  <c:y val="-9.3989479934478468E-2"/>
                </c:manualLayout>
              </c:layout>
              <c:tx>
                <c:rich>
                  <a:bodyPr/>
                  <a:lstStyle/>
                  <a:p>
                    <a:r>
                      <a:rPr lang="uk-UA" dirty="0" smtClean="0"/>
                      <a:t>Податок на доходи</a:t>
                    </a:r>
                    <a:r>
                      <a:rPr lang="uk-UA" baseline="0" dirty="0"/>
                      <a:t>
</a:t>
                    </a:r>
                    <a:r>
                      <a:rPr lang="uk-UA" baseline="0" dirty="0" smtClean="0"/>
                      <a:t>17,7%</a:t>
                    </a:r>
                    <a:endParaRPr lang="uk-UA" dirty="0"/>
                  </a:p>
                </c:rich>
              </c:tx>
              <c:dLblPos val="bestFit"/>
            </c:dLbl>
            <c:dLbl>
              <c:idx val="1"/>
              <c:layout>
                <c:manualLayout>
                  <c:x val="-0.14042511672279967"/>
                  <c:y val="-0.16224091073069122"/>
                </c:manualLayout>
              </c:layout>
              <c:tx>
                <c:rich>
                  <a:bodyPr/>
                  <a:lstStyle/>
                  <a:p>
                    <a:r>
                      <a:rPr lang="uk-UA" baseline="0" dirty="0"/>
                      <a:t>
</a:t>
                    </a:r>
                    <a:r>
                      <a:rPr lang="uk-UA" baseline="0" dirty="0" err="1" smtClean="0"/>
                      <a:t>Внутрішні</a:t>
                    </a:r>
                    <a:r>
                      <a:rPr lang="uk-UA" baseline="0" dirty="0" smtClean="0"/>
                      <a:t> </a:t>
                    </a:r>
                    <a:r>
                      <a:rPr lang="uk-UA" baseline="0" dirty="0" err="1" smtClean="0"/>
                      <a:t>податки</a:t>
                    </a:r>
                    <a:r>
                      <a:rPr lang="uk-UA" baseline="0" dirty="0" smtClean="0"/>
                      <a:t> на </a:t>
                    </a:r>
                    <a:r>
                      <a:rPr lang="uk-UA" baseline="0" dirty="0" err="1" smtClean="0"/>
                      <a:t>товари</a:t>
                    </a:r>
                    <a:r>
                      <a:rPr lang="uk-UA" baseline="0" dirty="0" smtClean="0"/>
                      <a:t> та </a:t>
                    </a:r>
                    <a:r>
                      <a:rPr lang="uk-UA" baseline="0" dirty="0" err="1" smtClean="0"/>
                      <a:t>послуги</a:t>
                    </a:r>
                    <a:r>
                      <a:rPr lang="uk-UA" baseline="0" dirty="0" smtClean="0"/>
                      <a:t> 0,2%</a:t>
                    </a:r>
                    <a:endParaRPr lang="uk-UA" dirty="0"/>
                  </a:p>
                </c:rich>
              </c:tx>
              <c:dLblPos val="bestFit"/>
            </c:dLbl>
            <c:dLbl>
              <c:idx val="2"/>
              <c:layout>
                <c:manualLayout>
                  <c:x val="3.4857075908429402E-2"/>
                  <c:y val="2.2812230544084357E-2"/>
                </c:manualLayout>
              </c:layout>
              <c:tx>
                <c:rich>
                  <a:bodyPr/>
                  <a:lstStyle/>
                  <a:p>
                    <a:r>
                      <a:rPr lang="uk-UA" dirty="0" smtClean="0"/>
                      <a:t>Земельний податок 2,8%</a:t>
                    </a:r>
                    <a:endParaRPr lang="uk-UA" dirty="0"/>
                  </a:p>
                </c:rich>
              </c:tx>
              <c:dLblPos val="bestFit"/>
            </c:dLbl>
            <c:dLbl>
              <c:idx val="3"/>
              <c:layout>
                <c:manualLayout>
                  <c:x val="-9.3599817108287423E-2"/>
                  <c:y val="7.7371004001561716E-2"/>
                </c:manualLayout>
              </c:layout>
              <c:tx>
                <c:rich>
                  <a:bodyPr/>
                  <a:lstStyle/>
                  <a:p>
                    <a:r>
                      <a:rPr lang="uk-UA" dirty="0" smtClean="0"/>
                      <a:t>Податок на майно 0,5%</a:t>
                    </a:r>
                    <a:endParaRPr lang="uk-UA" dirty="0"/>
                  </a:p>
                </c:rich>
              </c:tx>
              <c:dLblPos val="bestFit"/>
            </c:dLbl>
            <c:dLbl>
              <c:idx val="4"/>
              <c:layout>
                <c:manualLayout>
                  <c:x val="0.15685436905021841"/>
                  <c:y val="-0.11483711339012492"/>
                </c:manualLayout>
              </c:layout>
              <c:tx>
                <c:rich>
                  <a:bodyPr/>
                  <a:lstStyle/>
                  <a:p>
                    <a:r>
                      <a:rPr lang="uk-UA" baseline="0" dirty="0" smtClean="0"/>
                      <a:t>Офіційні трансферти</a:t>
                    </a:r>
                    <a:r>
                      <a:rPr lang="uk-UA" baseline="0" dirty="0"/>
                      <a:t>
</a:t>
                    </a:r>
                    <a:r>
                      <a:rPr lang="uk-UA" baseline="0" dirty="0" smtClean="0"/>
                      <a:t>72%</a:t>
                    </a:r>
                    <a:endParaRPr lang="uk-UA" dirty="0"/>
                  </a:p>
                </c:rich>
              </c:tx>
              <c:dLblPos val="bestFit"/>
            </c:dLbl>
            <c:dLbl>
              <c:idx val="5"/>
              <c:layout>
                <c:manualLayout>
                  <c:x val="-0.21365198385014444"/>
                  <c:y val="0.1249376282488039"/>
                </c:manualLayout>
              </c:layout>
              <c:tx>
                <c:rich>
                  <a:bodyPr/>
                  <a:lstStyle/>
                  <a:p>
                    <a:r>
                      <a:rPr lang="uk-UA" dirty="0" smtClean="0"/>
                      <a:t>Єдиний податок</a:t>
                    </a:r>
                    <a:r>
                      <a:rPr lang="uk-UA" baseline="0" dirty="0"/>
                      <a:t>
</a:t>
                    </a:r>
                    <a:r>
                      <a:rPr lang="uk-UA" baseline="0" dirty="0" smtClean="0"/>
                      <a:t>6,3%</a:t>
                    </a:r>
                    <a:endParaRPr lang="uk-UA" dirty="0"/>
                  </a:p>
                </c:rich>
              </c:tx>
              <c:dLblPos val="bestFit"/>
            </c:dLbl>
            <c:dLbl>
              <c:idx val="6"/>
              <c:layout>
                <c:manualLayout>
                  <c:x val="-0.23519311280325675"/>
                  <c:y val="-2.6675932120719177E-2"/>
                </c:manualLayout>
              </c:layout>
              <c:tx>
                <c:rich>
                  <a:bodyPr/>
                  <a:lstStyle/>
                  <a:p>
                    <a:r>
                      <a:rPr lang="uk-UA" dirty="0" smtClean="0"/>
                      <a:t>Інші</a:t>
                    </a:r>
                    <a:r>
                      <a:rPr lang="uk-UA" baseline="0" dirty="0"/>
                      <a:t>
</a:t>
                    </a:r>
                    <a:r>
                      <a:rPr lang="uk-UA" baseline="0" dirty="0" smtClean="0"/>
                      <a:t>0,5%</a:t>
                    </a:r>
                    <a:endParaRPr lang="uk-UA" dirty="0"/>
                  </a:p>
                </c:rich>
              </c:tx>
              <c:dLblPos val="bestFit"/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CatName val="1"/>
            <c:showPercent val="1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</c:dLbls>
          <c:cat>
            <c:strRef>
              <c:f>Лист1!$A$2:$A$8</c:f>
              <c:strCache>
                <c:ptCount val="7"/>
                <c:pt idx="0">
                  <c:v>Податок на доходи(4107.3 тис.грн)</c:v>
                </c:pt>
                <c:pt idx="1">
                  <c:v>Внутрішні податки на товари та послуги(39.5 тис.грн.)  </c:v>
                </c:pt>
                <c:pt idx="2">
                  <c:v>Земельний податок(641.4 тис.грн.)</c:v>
                </c:pt>
                <c:pt idx="3">
                  <c:v>Податок на майно(126.2 тис.грн.)</c:v>
                </c:pt>
                <c:pt idx="4">
                  <c:v>Офіційні трансферти(16809.8 тис.грн.)</c:v>
                </c:pt>
                <c:pt idx="5">
                  <c:v>Єдиний податок(1453.4 тис.грн.)</c:v>
                </c:pt>
                <c:pt idx="6">
                  <c:v>Інші(38.3 тис.грн.)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17.7</c:v>
                </c:pt>
                <c:pt idx="1">
                  <c:v>0.2</c:v>
                </c:pt>
                <c:pt idx="2">
                  <c:v>2.8</c:v>
                </c:pt>
                <c:pt idx="3">
                  <c:v>0.5</c:v>
                </c:pt>
                <c:pt idx="4">
                  <c:v>72</c:v>
                </c:pt>
                <c:pt idx="5">
                  <c:v>6.3</c:v>
                </c:pt>
                <c:pt idx="6">
                  <c:v>0.5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7212230390020445E-2"/>
          <c:y val="0.5396940899628927"/>
          <c:w val="0.78064677339686794"/>
          <c:h val="0.4227034943516072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127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dirty="0" err="1"/>
              <a:t>Податок</a:t>
            </a:r>
            <a:r>
              <a:rPr lang="ru-RU" dirty="0"/>
              <a:t> та </a:t>
            </a:r>
            <a:r>
              <a:rPr lang="ru-RU" dirty="0" err="1"/>
              <a:t>збір</a:t>
            </a:r>
            <a:r>
              <a:rPr lang="ru-RU" dirty="0"/>
              <a:t> на доходи </a:t>
            </a:r>
            <a:r>
              <a:rPr lang="ru-RU" dirty="0" err="1"/>
              <a:t>фізичних</a:t>
            </a:r>
            <a:r>
              <a:rPr lang="ru-RU" dirty="0"/>
              <a:t> </a:t>
            </a:r>
            <a:r>
              <a:rPr lang="ru-RU" dirty="0" err="1"/>
              <a:t>осіб</a:t>
            </a:r>
            <a:r>
              <a:rPr lang="ru-RU" dirty="0"/>
              <a:t>(</a:t>
            </a:r>
            <a:r>
              <a:rPr lang="ru-RU" dirty="0" err="1"/>
              <a:t>тис.грн</a:t>
            </a:r>
            <a:r>
              <a:rPr lang="ru-RU" dirty="0"/>
              <a:t>)</a:t>
            </a:r>
          </a:p>
        </c:rich>
      </c:tx>
      <c:spPr>
        <a:noFill/>
        <a:ln w="25389">
          <a:noFill/>
        </a:ln>
      </c:spPr>
    </c:title>
    <c:view3D>
      <c:rotX val="3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Податок та збір на доходи фізичних осіб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tint val="96000"/>
                      <a:lumMod val="100000"/>
                    </a:schemeClr>
                  </a:gs>
                  <a:gs pos="78000">
                    <a:schemeClr val="accent1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96000"/>
                      <a:lumMod val="100000"/>
                    </a:schemeClr>
                  </a:gs>
                  <a:gs pos="78000">
                    <a:schemeClr val="accent2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96000"/>
                      <a:lumMod val="100000"/>
                    </a:schemeClr>
                  </a:gs>
                  <a:gs pos="78000">
                    <a:schemeClr val="accent3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tint val="96000"/>
                      <a:lumMod val="100000"/>
                    </a:schemeClr>
                  </a:gs>
                  <a:gs pos="78000">
                    <a:schemeClr val="accent4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tint val="96000"/>
                      <a:lumMod val="100000"/>
                    </a:schemeClr>
                  </a:gs>
                  <a:gs pos="78000">
                    <a:schemeClr val="accent5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5"/>
            <c:spPr>
              <a:gradFill rotWithShape="1">
                <a:gsLst>
                  <a:gs pos="0">
                    <a:schemeClr val="accent6">
                      <a:tint val="96000"/>
                      <a:lumMod val="100000"/>
                    </a:schemeClr>
                  </a:gs>
                  <a:gs pos="78000">
                    <a:schemeClr val="accent6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tint val="96000"/>
                      <a:lumMod val="100000"/>
                    </a:schemeClr>
                  </a:gs>
                  <a:gs pos="78000">
                    <a:schemeClr val="accent1">
                      <a:lumMod val="60000"/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7"/>
            <c:spPr>
              <a:gradFill rotWithShape="1">
                <a:gsLst>
                  <a:gs pos="0">
                    <a:schemeClr val="accent2">
                      <a:lumMod val="60000"/>
                      <a:tint val="96000"/>
                      <a:lumMod val="100000"/>
                    </a:schemeClr>
                  </a:gs>
                  <a:gs pos="78000">
                    <a:schemeClr val="accent2">
                      <a:lumMod val="60000"/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8"/>
            <c:spPr>
              <a:gradFill rotWithShape="1">
                <a:gsLst>
                  <a:gs pos="0">
                    <a:schemeClr val="accent3">
                      <a:lumMod val="60000"/>
                      <a:tint val="96000"/>
                      <a:lumMod val="100000"/>
                    </a:schemeClr>
                  </a:gs>
                  <a:gs pos="78000">
                    <a:schemeClr val="accent3">
                      <a:lumMod val="60000"/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9"/>
            <c:spPr>
              <a:gradFill rotWithShape="1">
                <a:gsLst>
                  <a:gs pos="0">
                    <a:schemeClr val="accent4">
                      <a:lumMod val="60000"/>
                      <a:tint val="96000"/>
                      <a:lumMod val="100000"/>
                    </a:schemeClr>
                  </a:gs>
                  <a:gs pos="78000">
                    <a:schemeClr val="accent4">
                      <a:lumMod val="60000"/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10"/>
            <c:spPr>
              <a:gradFill rotWithShape="1">
                <a:gsLst>
                  <a:gs pos="0">
                    <a:schemeClr val="accent5">
                      <a:lumMod val="60000"/>
                      <a:tint val="96000"/>
                      <a:lumMod val="100000"/>
                    </a:schemeClr>
                  </a:gs>
                  <a:gs pos="78000">
                    <a:schemeClr val="accent5">
                      <a:lumMod val="60000"/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11"/>
            <c:spPr>
              <a:gradFill rotWithShape="1">
                <a:gsLst>
                  <a:gs pos="0">
                    <a:schemeClr val="accent6">
                      <a:lumMod val="60000"/>
                      <a:tint val="96000"/>
                      <a:lumMod val="100000"/>
                    </a:schemeClr>
                  </a:gs>
                  <a:gs pos="78000">
                    <a:schemeClr val="accent6">
                      <a:lumMod val="60000"/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12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tint val="96000"/>
                      <a:lumMod val="100000"/>
                    </a:schemeClr>
                  </a:gs>
                  <a:gs pos="78000">
                    <a:schemeClr val="accent1">
                      <a:lumMod val="80000"/>
                      <a:lumOff val="20000"/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13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tint val="96000"/>
                      <a:lumMod val="100000"/>
                    </a:schemeClr>
                  </a:gs>
                  <a:gs pos="78000">
                    <a:schemeClr val="accent2">
                      <a:lumMod val="80000"/>
                      <a:lumOff val="20000"/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Lbls>
            <c:dLbl>
              <c:idx val="0"/>
              <c:layout>
                <c:manualLayout>
                  <c:x val="-5.0288962770266295E-2"/>
                  <c:y val="-6.672189111813065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7.7573312777046835E-2"/>
                  <c:y val="-4.3461192239216719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1.3470261456602878E-2"/>
                  <c:y val="-5.8303673384531053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5.0668992716626123E-2"/>
                  <c:y val="-5.5455672459442024E-2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6.3870232974358399E-2"/>
                  <c:y val="-6.5105291921248185E-2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 val="-2.5147981660954891E-2"/>
                  <c:y val="-2.1498438488613988E-2"/>
                </c:manualLayout>
              </c:layout>
              <c:dLblPos val="bestFit"/>
              <c:showPercent val="1"/>
            </c:dLbl>
            <c:dLbl>
              <c:idx val="7"/>
              <c:layout>
                <c:manualLayout>
                  <c:x val="0"/>
                  <c:y val="-3.2491484396890577E-2"/>
                </c:manualLayout>
              </c:layout>
              <c:dLblPos val="bestFit"/>
              <c:showPercent val="1"/>
            </c:dLbl>
            <c:dLbl>
              <c:idx val="9"/>
              <c:layout>
                <c:manualLayout>
                  <c:x val="-1.6066066006001307E-2"/>
                  <c:y val="-5.8302289441529834E-2"/>
                </c:manualLayout>
              </c:layout>
              <c:dLblPos val="bestFit"/>
              <c:showPercent val="1"/>
            </c:dLbl>
            <c:dLbl>
              <c:idx val="10"/>
              <c:layout>
                <c:manualLayout>
                  <c:x val="-2.1749713877453607E-2"/>
                  <c:y val="-7.8182015568436153E-2"/>
                </c:manualLayout>
              </c:layout>
              <c:dLblPos val="bestFit"/>
              <c:showPercent val="1"/>
            </c:dLbl>
            <c:dLbl>
              <c:idx val="11"/>
              <c:layout>
                <c:manualLayout>
                  <c:x val="4.3612236644247585E-2"/>
                  <c:y val="-5.7125663146684429E-2"/>
                </c:manualLayout>
              </c:layout>
              <c:dLblPos val="bestFit"/>
              <c:showPercent val="1"/>
            </c:dLbl>
            <c:dLbl>
              <c:idx val="12"/>
              <c:layout>
                <c:manualLayout>
                  <c:x val="0.10835553841642721"/>
                  <c:y val="-3.1865964934578293E-2"/>
                </c:manualLayout>
              </c:layout>
              <c:dLblPos val="bestFit"/>
              <c:showPercent val="1"/>
            </c:dLbl>
            <c:dLbl>
              <c:idx val="13"/>
              <c:layout>
                <c:manualLayout>
                  <c:x val="0.10015269203213213"/>
                  <c:y val="2.1909177665241596E-2"/>
                </c:manualLayout>
              </c:layout>
              <c:dLblPos val="bestFit"/>
              <c:showPercent val="1"/>
            </c:dLbl>
            <c:spPr>
              <a:noFill/>
              <a:ln w="2538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1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</c:dLbls>
          <c:cat>
            <c:strRef>
              <c:f>Лист1!$A$2:$A$15</c:f>
              <c:strCache>
                <c:ptCount val="14"/>
                <c:pt idx="0">
                  <c:v>Виконком Грушівської сільської ради 1360.0 тис.грн.</c:v>
                </c:pt>
                <c:pt idx="1">
                  <c:v>ТОВ "ДНІПРОВСЬКІ ЕНЕРГЕТИЧНІ ПОСЛУГИ" 988.1 тис.грн</c:v>
                </c:pt>
                <c:pt idx="2">
                  <c:v>АТ "УКРЗАЛІЗНИЦЯ" 323.1 тис.грн.</c:v>
                </c:pt>
                <c:pt idx="3">
                  <c:v>ЦПМСД ГРУШІВСЬКОЇ СІЛЬСЬКОЇ РАДИ КНП 217.1 тис.грн</c:v>
                </c:pt>
                <c:pt idx="4">
                  <c:v>ФІЛІЯ ВПКК ПАТ ГДКОК БІЛИЧІ 206.3 тис.грн.</c:v>
                </c:pt>
                <c:pt idx="5">
                  <c:v>АТ ДНІПРОПЕТРОВСЬКГАЗ 97.7 тис.грн.</c:v>
                </c:pt>
                <c:pt idx="6">
                  <c:v>Нікопольське МУВГ 86.4 тис.грн</c:v>
                </c:pt>
                <c:pt idx="7">
                  <c:v>ТОВ "АК"АВІАС-2000" 78.6 тис.грн</c:v>
                </c:pt>
                <c:pt idx="8">
                  <c:v>ПВФ "АГРОЦЕНТР" 64.9 тис.грн.</c:v>
                </c:pt>
                <c:pt idx="9">
                  <c:v>ПАТРІОТ КП 57.1 тис.грн</c:v>
                </c:pt>
                <c:pt idx="10">
                  <c:v>ТОВ "ЗОЛД-ТРАНС" 54.2тис.грн.</c:v>
                </c:pt>
                <c:pt idx="11">
                  <c:v>ФІЛ"ПРИДНІПРОВСЬКА ЗАЛІЗНИЦЯ"АТ"УЗ" 48.6 тис.грн</c:v>
                </c:pt>
                <c:pt idx="12">
                  <c:v>ПВФ "АГРОЦЕНТР" 43.1 тис.грн.</c:v>
                </c:pt>
                <c:pt idx="13">
                  <c:v>Інші- 482.1 тис.грн.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1360</c:v>
                </c:pt>
                <c:pt idx="1">
                  <c:v>988.1</c:v>
                </c:pt>
                <c:pt idx="2">
                  <c:v>323.10000000000002</c:v>
                </c:pt>
                <c:pt idx="3">
                  <c:v>217.1</c:v>
                </c:pt>
                <c:pt idx="4">
                  <c:v>206.3</c:v>
                </c:pt>
                <c:pt idx="5">
                  <c:v>97.7</c:v>
                </c:pt>
                <c:pt idx="6">
                  <c:v>86.4</c:v>
                </c:pt>
                <c:pt idx="7">
                  <c:v>78.599999999999994</c:v>
                </c:pt>
                <c:pt idx="8">
                  <c:v>64.900000000000006</c:v>
                </c:pt>
                <c:pt idx="9">
                  <c:v>57.1</c:v>
                </c:pt>
                <c:pt idx="10">
                  <c:v>54.2</c:v>
                </c:pt>
                <c:pt idx="11">
                  <c:v>48.6</c:v>
                </c:pt>
                <c:pt idx="12">
                  <c:v>43.1</c:v>
                </c:pt>
                <c:pt idx="13">
                  <c:v>482.1</c:v>
                </c:pt>
              </c:numCache>
            </c:numRef>
          </c:val>
        </c:ser>
      </c:pie3DChart>
      <c:spPr>
        <a:noFill/>
        <a:ln w="25389">
          <a:noFill/>
        </a:ln>
      </c:spPr>
    </c:plotArea>
    <c:legend>
      <c:legendPos val="b"/>
      <c:layout>
        <c:manualLayout>
          <c:xMode val="edge"/>
          <c:yMode val="edge"/>
          <c:x val="0.1492617791708076"/>
          <c:y val="0.5205789088276187"/>
          <c:w val="0.8456709222026858"/>
          <c:h val="0.43022157496770613"/>
        </c:manualLayout>
      </c:layout>
      <c:spPr>
        <a:noFill/>
        <a:ln w="25389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196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uk-UA" dirty="0"/>
              <a:t>Земельний </a:t>
            </a:r>
            <a:r>
              <a:rPr lang="uk-UA" dirty="0" smtClean="0"/>
              <a:t>податок</a:t>
            </a:r>
            <a:endParaRPr lang="en-US" dirty="0" smtClean="0"/>
          </a:p>
          <a:p>
            <a:pPr>
              <a:defRPr sz="2196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uk-UA" dirty="0" err="1" smtClean="0"/>
              <a:t>тис.грн</a:t>
            </a:r>
            <a:r>
              <a:rPr lang="uk-UA" dirty="0" smtClean="0"/>
              <a:t>.</a:t>
            </a:r>
            <a:endParaRPr lang="uk-UA" dirty="0"/>
          </a:p>
        </c:rich>
      </c:tx>
      <c:spPr>
        <a:noFill/>
        <a:ln w="25379">
          <a:noFill/>
        </a:ln>
      </c:spPr>
    </c:title>
    <c:view3D>
      <c:depthPercent val="100"/>
      <c:rAngAx val="1"/>
    </c:view3D>
    <c:floor>
      <c:spPr>
        <a:noFill/>
        <a:ln w="635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Земельний податок</c:v>
                </c:pt>
              </c:strCache>
            </c:strRef>
          </c:tx>
          <c:spPr>
            <a:solidFill>
              <a:srgbClr val="5B9BD5"/>
            </a:solidFill>
            <a:ln w="25379">
              <a:noFill/>
            </a:ln>
          </c:spPr>
          <c:dLbls>
            <c:dLbl>
              <c:idx val="0"/>
              <c:layout>
                <c:manualLayout>
                  <c:x val="-1.8209408194233695E-2"/>
                  <c:y val="-7.852761747775378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6.871166529303457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0.13415134652449601"/>
                </c:manualLayout>
              </c:layout>
              <c:showVal val="1"/>
            </c:dLbl>
            <c:dLbl>
              <c:idx val="3"/>
              <c:layout>
                <c:manualLayout>
                  <c:x val="-1.2139605462822459E-2"/>
                  <c:y val="-5.8895713108315317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5.2351744985169223E-2"/>
                </c:manualLayout>
              </c:layout>
              <c:showVal val="1"/>
            </c:dLbl>
            <c:dLbl>
              <c:idx val="5"/>
              <c:layout>
                <c:manualLayout>
                  <c:x val="1.5174506828528073E-2"/>
                  <c:y val="-0.10143150590876528"/>
                </c:manualLayout>
              </c:layout>
              <c:showVal val="1"/>
            </c:dLbl>
            <c:dLbl>
              <c:idx val="7"/>
              <c:layout>
                <c:manualLayout>
                  <c:x val="-1.1127843124460588E-16"/>
                  <c:y val="-7.8527617477753789E-2"/>
                </c:manualLayout>
              </c:layout>
              <c:showVal val="1"/>
            </c:dLbl>
            <c:dLbl>
              <c:idx val="9"/>
              <c:layout>
                <c:manualLayout>
                  <c:x val="1.1127843124460588E-16"/>
                  <c:y val="-9.1615553724046062E-2"/>
                </c:manualLayout>
              </c:layout>
              <c:showVal val="1"/>
            </c:dLbl>
            <c:spPr>
              <a:noFill/>
              <a:ln w="2537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6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ТОВ "ТОКІВСЬКИЙ ГРАНКАР`ЄР"</c:v>
                </c:pt>
                <c:pt idx="1">
                  <c:v>АТ "УКРЗАЛІЗНИЦЯ"</c:v>
                </c:pt>
                <c:pt idx="2">
                  <c:v>АТ "УКРЗАЛІЗНИЦЯ"(ПЗ)</c:v>
                </c:pt>
                <c:pt idx="3">
                  <c:v>ПАТ ГВКК "БІЛИЧІ"</c:v>
                </c:pt>
                <c:pt idx="4">
                  <c:v>ТОВ "АГРОНОМ І Я""</c:v>
                </c:pt>
                <c:pt idx="5">
                  <c:v>АТ  "ДТЕК ДНІПРОВСЬКІ ЕЛЕКТРОМЕРЕЖІ"</c:v>
                </c:pt>
                <c:pt idx="6">
                  <c:v>ТОВ "АПОСТОЛОВЕ-АГРО"</c:v>
                </c:pt>
                <c:pt idx="7">
                  <c:v>ВІКТОРІЯ-ПЛЮС СФГ</c:v>
                </c:pt>
                <c:pt idx="8">
                  <c:v>ТОВ "Фірма Апельсин"</c:v>
                </c:pt>
                <c:pt idx="9">
                  <c:v>ДП "ДНІПРОВСЬКЕ ЛІСОВЕ ГОСПОДАРСТВО"</c:v>
                </c:pt>
                <c:pt idx="10">
                  <c:v>Інші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228.2</c:v>
                </c:pt>
                <c:pt idx="1">
                  <c:v>124.7</c:v>
                </c:pt>
                <c:pt idx="2">
                  <c:v>24.6</c:v>
                </c:pt>
                <c:pt idx="3">
                  <c:v>21.7</c:v>
                </c:pt>
                <c:pt idx="4">
                  <c:v>21.6</c:v>
                </c:pt>
                <c:pt idx="5">
                  <c:v>18.399999999999999</c:v>
                </c:pt>
                <c:pt idx="6">
                  <c:v>18.2</c:v>
                </c:pt>
                <c:pt idx="7">
                  <c:v>16.100000000000001</c:v>
                </c:pt>
                <c:pt idx="8">
                  <c:v>14.2</c:v>
                </c:pt>
                <c:pt idx="9">
                  <c:v>18.600000000000001</c:v>
                </c:pt>
                <c:pt idx="10">
                  <c:v>135.1</c:v>
                </c:pt>
              </c:numCache>
            </c:numRef>
          </c:val>
        </c:ser>
        <c:shape val="box"/>
        <c:axId val="215984384"/>
        <c:axId val="215994368"/>
        <c:axId val="0"/>
      </c:bar3DChart>
      <c:catAx>
        <c:axId val="21598438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634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6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994368"/>
        <c:crosses val="autoZero"/>
        <c:auto val="1"/>
        <c:lblAlgn val="ctr"/>
        <c:lblOffset val="100"/>
      </c:catAx>
      <c:valAx>
        <c:axId val="215994368"/>
        <c:scaling>
          <c:orientation val="minMax"/>
        </c:scaling>
        <c:axPos val="l"/>
        <c:majorGridlines>
          <c:spPr>
            <a:ln w="951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17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ln w="634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6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984384"/>
        <c:crosses val="autoZero"/>
        <c:crossBetween val="between"/>
      </c:valAx>
      <c:spPr>
        <a:noFill/>
        <a:ln w="25379">
          <a:noFill/>
        </a:ln>
      </c:spPr>
    </c:plotArea>
    <c:legend>
      <c:legendPos val="b"/>
      <c:spPr>
        <a:noFill/>
        <a:ln w="25379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6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 w="25385">
          <a:noFill/>
        </a:ln>
      </c:spPr>
      <c:txPr>
        <a:bodyPr rot="0" spcFirstLastPara="1" vertOverflow="ellipsis" vert="horz" wrap="square" anchor="ctr" anchorCtr="1"/>
        <a:lstStyle/>
        <a:p>
          <a:pPr>
            <a:defRPr sz="2127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Єдиний податок  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tint val="96000"/>
                      <a:lumMod val="100000"/>
                    </a:schemeClr>
                  </a:gs>
                  <a:gs pos="78000">
                    <a:schemeClr val="accent1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96000"/>
                      <a:lumMod val="100000"/>
                    </a:schemeClr>
                  </a:gs>
                  <a:gs pos="78000">
                    <a:schemeClr val="accent2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96000"/>
                      <a:lumMod val="100000"/>
                    </a:schemeClr>
                  </a:gs>
                  <a:gs pos="78000">
                    <a:schemeClr val="accent3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tint val="96000"/>
                      <a:lumMod val="100000"/>
                    </a:schemeClr>
                  </a:gs>
                  <a:gs pos="78000">
                    <a:schemeClr val="accent4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tint val="96000"/>
                      <a:lumMod val="100000"/>
                    </a:schemeClr>
                  </a:gs>
                  <a:gs pos="78000">
                    <a:schemeClr val="accent5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5"/>
            <c:spPr>
              <a:gradFill rotWithShape="1">
                <a:gsLst>
                  <a:gs pos="0">
                    <a:schemeClr val="accent6">
                      <a:tint val="96000"/>
                      <a:lumMod val="100000"/>
                    </a:schemeClr>
                  </a:gs>
                  <a:gs pos="78000">
                    <a:schemeClr val="accent6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tint val="96000"/>
                      <a:lumMod val="100000"/>
                    </a:schemeClr>
                  </a:gs>
                  <a:gs pos="78000">
                    <a:schemeClr val="accent1">
                      <a:lumMod val="60000"/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7"/>
            <c:spPr>
              <a:gradFill rotWithShape="1">
                <a:gsLst>
                  <a:gs pos="0">
                    <a:schemeClr val="accent2">
                      <a:lumMod val="60000"/>
                      <a:tint val="96000"/>
                      <a:lumMod val="100000"/>
                    </a:schemeClr>
                  </a:gs>
                  <a:gs pos="78000">
                    <a:schemeClr val="accent2">
                      <a:lumMod val="60000"/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8"/>
            <c:spPr>
              <a:gradFill rotWithShape="1">
                <a:gsLst>
                  <a:gs pos="0">
                    <a:schemeClr val="accent3">
                      <a:lumMod val="60000"/>
                      <a:tint val="96000"/>
                      <a:lumMod val="100000"/>
                    </a:schemeClr>
                  </a:gs>
                  <a:gs pos="78000">
                    <a:schemeClr val="accent3">
                      <a:lumMod val="60000"/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9"/>
            <c:spPr>
              <a:gradFill rotWithShape="1">
                <a:gsLst>
                  <a:gs pos="0">
                    <a:schemeClr val="accent4">
                      <a:lumMod val="60000"/>
                      <a:tint val="96000"/>
                      <a:lumMod val="100000"/>
                    </a:schemeClr>
                  </a:gs>
                  <a:gs pos="78000">
                    <a:schemeClr val="accent4">
                      <a:lumMod val="60000"/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10"/>
            <c:spPr>
              <a:gradFill rotWithShape="1">
                <a:gsLst>
                  <a:gs pos="0">
                    <a:schemeClr val="accent5">
                      <a:lumMod val="60000"/>
                      <a:tint val="96000"/>
                      <a:lumMod val="100000"/>
                    </a:schemeClr>
                  </a:gs>
                  <a:gs pos="78000">
                    <a:schemeClr val="accent5">
                      <a:lumMod val="60000"/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11"/>
            <c:spPr>
              <a:gradFill rotWithShape="1">
                <a:gsLst>
                  <a:gs pos="0">
                    <a:schemeClr val="accent6">
                      <a:lumMod val="60000"/>
                      <a:tint val="96000"/>
                      <a:lumMod val="100000"/>
                    </a:schemeClr>
                  </a:gs>
                  <a:gs pos="78000">
                    <a:schemeClr val="accent6">
                      <a:lumMod val="60000"/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Lbls>
            <c:dLbl>
              <c:idx val="0"/>
              <c:layout>
                <c:manualLayout>
                  <c:x val="-5.8110356183753847E-2"/>
                  <c:y val="-4.0741869570470893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4.3726666539019771E-2"/>
                  <c:y val="-3.6462011363317247E-2"/>
                </c:manualLayout>
              </c:layout>
              <c:dLblPos val="bestFit"/>
              <c:showPercent val="1"/>
            </c:dLbl>
            <c:dLbl>
              <c:idx val="11"/>
              <c:layout>
                <c:manualLayout>
                  <c:x val="2.9012809360965643E-2"/>
                  <c:y val="-7.3865941917903119E-2"/>
                </c:manualLayout>
              </c:layout>
              <c:dLblPos val="bestFit"/>
              <c:showPercent val="1"/>
            </c:dLbl>
            <c:spPr>
              <a:noFill/>
              <a:ln w="2538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6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19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</c:dLbls>
          <c:cat>
            <c:strRef>
              <c:f>Лист1!$A$2:$A$13</c:f>
              <c:strCache>
                <c:ptCount val="12"/>
                <c:pt idx="0">
                  <c:v>ФОП ГУБА С.С. 295.1 тис.грн.</c:v>
                </c:pt>
                <c:pt idx="1">
                  <c:v>ФОП Заворотня Т.О. 190.4 тис.грн.</c:v>
                </c:pt>
                <c:pt idx="2">
                  <c:v>ПВФ "АГРОЦЕНТР"139.0 тис.грн.</c:v>
                </c:pt>
                <c:pt idx="3">
                  <c:v>ФОП Вережак П.Б. 88.3 тис.грн.</c:v>
                </c:pt>
                <c:pt idx="4">
                  <c:v>ТОВ К.І.К. 36.5 тис.грн.</c:v>
                </c:pt>
                <c:pt idx="5">
                  <c:v>ФОП Сорочан 35.4 тис.грн.</c:v>
                </c:pt>
                <c:pt idx="6">
                  <c:v>ТОВ "АК"АВІАС-2000"35.0 тис.грн.</c:v>
                </c:pt>
                <c:pt idx="7">
                  <c:v>ТОВ СП "Кам`янське" 34.8 тис.грн.</c:v>
                </c:pt>
                <c:pt idx="8">
                  <c:v>ФОП Шевченко А.В. 32.4 тис.грн.</c:v>
                </c:pt>
                <c:pt idx="9">
                  <c:v>ФОП ПОТУРАЙ Ю.Ю.   23.3 тис.грн</c:v>
                </c:pt>
                <c:pt idx="10">
                  <c:v>ПП " ЕКОПРОДМАРКЕТ " 23.3 тис.грн.</c:v>
                </c:pt>
                <c:pt idx="11">
                  <c:v>Інші 531.2тис.грн.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295.10000000000002</c:v>
                </c:pt>
                <c:pt idx="1">
                  <c:v>190.4</c:v>
                </c:pt>
                <c:pt idx="2">
                  <c:v>139</c:v>
                </c:pt>
                <c:pt idx="3">
                  <c:v>88.3</c:v>
                </c:pt>
                <c:pt idx="4">
                  <c:v>36.5</c:v>
                </c:pt>
                <c:pt idx="5">
                  <c:v>35.4</c:v>
                </c:pt>
                <c:pt idx="6">
                  <c:v>35</c:v>
                </c:pt>
                <c:pt idx="7">
                  <c:v>34.800000000000004</c:v>
                </c:pt>
                <c:pt idx="8">
                  <c:v>32.4</c:v>
                </c:pt>
                <c:pt idx="9">
                  <c:v>23.3</c:v>
                </c:pt>
                <c:pt idx="10">
                  <c:v>23.3</c:v>
                </c:pt>
                <c:pt idx="11">
                  <c:v>531.20000000000005</c:v>
                </c:pt>
              </c:numCache>
            </c:numRef>
          </c:val>
        </c:ser>
      </c:pie3DChart>
      <c:spPr>
        <a:noFill/>
        <a:ln w="25385">
          <a:noFill/>
        </a:ln>
      </c:spPr>
    </c:plotArea>
    <c:legend>
      <c:legendPos val="b"/>
      <c:spPr>
        <a:noFill/>
        <a:ln w="25385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6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907626546681665"/>
          <c:y val="0"/>
        </c:manualLayout>
      </c:layout>
      <c:spPr>
        <a:noFill/>
        <a:ln w="25381">
          <a:noFill/>
        </a:ln>
      </c:spPr>
      <c:txPr>
        <a:bodyPr rot="0" spcFirstLastPara="1" vertOverflow="ellipsis" vert="horz" wrap="square" anchor="ctr" anchorCtr="1"/>
        <a:lstStyle/>
        <a:p>
          <a:pPr>
            <a:defRPr sz="2126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6.0698027314112311E-3"/>
          <c:y val="0.32564489234319133"/>
          <c:w val="0.99393030980976027"/>
          <c:h val="0.43530413027843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Видатки загального фонду бюджету за І півріччя 2022р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tint val="96000"/>
                      <a:lumMod val="100000"/>
                    </a:schemeClr>
                  </a:gs>
                  <a:gs pos="78000">
                    <a:schemeClr val="accent1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tint val="96000"/>
                      <a:lumMod val="100000"/>
                    </a:schemeClr>
                  </a:gs>
                  <a:gs pos="78000">
                    <a:schemeClr val="accent2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96000"/>
                      <a:lumMod val="100000"/>
                    </a:schemeClr>
                  </a:gs>
                  <a:gs pos="78000">
                    <a:schemeClr val="accent3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tint val="96000"/>
                      <a:lumMod val="100000"/>
                    </a:schemeClr>
                  </a:gs>
                  <a:gs pos="78000">
                    <a:schemeClr val="accent4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4"/>
            <c:spPr>
              <a:gradFill rotWithShape="1">
                <a:gsLst>
                  <a:gs pos="0">
                    <a:schemeClr val="accent5">
                      <a:tint val="96000"/>
                      <a:lumMod val="100000"/>
                    </a:schemeClr>
                  </a:gs>
                  <a:gs pos="78000">
                    <a:schemeClr val="accent5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5"/>
            <c:spPr>
              <a:gradFill rotWithShape="1">
                <a:gsLst>
                  <a:gs pos="0">
                    <a:schemeClr val="accent6">
                      <a:tint val="96000"/>
                      <a:lumMod val="100000"/>
                    </a:schemeClr>
                  </a:gs>
                  <a:gs pos="78000">
                    <a:schemeClr val="accent6"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6"/>
            <c:spPr>
              <a:gradFill rotWithShape="1">
                <a:gsLst>
                  <a:gs pos="0">
                    <a:schemeClr val="accent1">
                      <a:lumMod val="60000"/>
                      <a:tint val="96000"/>
                      <a:lumMod val="100000"/>
                    </a:schemeClr>
                  </a:gs>
                  <a:gs pos="78000">
                    <a:schemeClr val="accent1">
                      <a:lumMod val="60000"/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Pt>
            <c:idx val="7"/>
            <c:spPr>
              <a:gradFill rotWithShape="1">
                <a:gsLst>
                  <a:gs pos="0">
                    <a:schemeClr val="accent2">
                      <a:lumMod val="60000"/>
                      <a:tint val="96000"/>
                      <a:lumMod val="100000"/>
                    </a:schemeClr>
                  </a:gs>
                  <a:gs pos="78000">
                    <a:schemeClr val="accent2">
                      <a:lumMod val="60000"/>
                      <a:shade val="94000"/>
                      <a:lumMod val="94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0800" dist="381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l"/>
              </a:scene3d>
              <a:sp3d prstMaterial="plastic">
                <a:bevelT w="0" h="0"/>
              </a:sp3d>
            </c:spPr>
          </c:dPt>
          <c:dLbls>
            <c:dLbl>
              <c:idx val="0"/>
              <c:layout>
                <c:manualLayout>
                  <c:x val="4.5555310740374146E-2"/>
                  <c:y val="-4.1296415418303435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73,9%</a:t>
                    </a:r>
                    <a:endParaRPr lang="en-US" dirty="0"/>
                  </a:p>
                </c:rich>
              </c:tx>
              <c:dLblPos val="bestFit"/>
            </c:dLbl>
            <c:dLbl>
              <c:idx val="1"/>
              <c:layout>
                <c:manualLayout>
                  <c:x val="-5.9221542364570716E-2"/>
                  <c:y val="-3.7065067413467059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10,9%</a:t>
                    </a:r>
                    <a:endParaRPr lang="en-US" dirty="0"/>
                  </a:p>
                </c:rich>
              </c:tx>
              <c:dLblPos val="bestFit"/>
            </c:dLbl>
            <c:dLbl>
              <c:idx val="2"/>
              <c:layout>
                <c:manualLayout>
                  <c:x val="-0.12011318496890507"/>
                  <c:y val="-5.7717764774779315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1,2%</a:t>
                    </a:r>
                    <a:endParaRPr lang="en-US" dirty="0"/>
                  </a:p>
                </c:rich>
              </c:tx>
              <c:dLblPos val="bestFit"/>
            </c:dLbl>
            <c:dLbl>
              <c:idx val="3"/>
              <c:layout>
                <c:manualLayout>
                  <c:x val="-7.4712929372377321E-2"/>
                  <c:y val="-9.7673600627511473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4,1%</a:t>
                    </a:r>
                    <a:endParaRPr lang="en-US" dirty="0"/>
                  </a:p>
                </c:rich>
              </c:tx>
              <c:dLblPos val="bestFit"/>
            </c:dLbl>
            <c:dLbl>
              <c:idx val="4"/>
              <c:layout>
                <c:manualLayout>
                  <c:x val="-1.9951703202258909E-2"/>
                  <c:y val="-0.10143480118796754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1,9%</a:t>
                    </a:r>
                    <a:endParaRPr lang="en-US" dirty="0"/>
                  </a:p>
                </c:rich>
              </c:tx>
              <c:dLblPos val="bestFit"/>
            </c:dLbl>
            <c:dLbl>
              <c:idx val="5"/>
              <c:layout>
                <c:manualLayout>
                  <c:x val="2.5504465252127771E-2"/>
                  <c:y val="-5.7952266750264374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5,5%</a:t>
                    </a:r>
                    <a:endParaRPr lang="en-US" dirty="0"/>
                  </a:p>
                </c:rich>
              </c:tx>
              <c:dLblPos val="bestFit"/>
            </c:dLbl>
            <c:dLbl>
              <c:idx val="6"/>
              <c:layout>
                <c:manualLayout>
                  <c:x val="6.6129267879932133E-2"/>
                  <c:y val="-5.0800775318235833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1,3%</a:t>
                    </a:r>
                    <a:endParaRPr lang="en-US" dirty="0"/>
                  </a:p>
                </c:rich>
              </c:tx>
              <c:dLblPos val="bestFit"/>
            </c:dLbl>
            <c:dLbl>
              <c:idx val="7"/>
              <c:layout>
                <c:manualLayout>
                  <c:x val="0.17047316774720164"/>
                  <c:y val="-3.3859031350230363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1,3%</a:t>
                    </a:r>
                    <a:endParaRPr lang="en-US" dirty="0"/>
                  </a:p>
                </c:rich>
              </c:tx>
              <c:dLblPos val="bestFit"/>
            </c:dLbl>
            <c:spPr>
              <a:noFill/>
              <a:ln w="2538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6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18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</c:dLbls>
          <c:cat>
            <c:strRef>
              <c:f>Лист1!$A$2:$A$9</c:f>
              <c:strCache>
                <c:ptCount val="8"/>
                <c:pt idx="0">
                  <c:v>Освіта(76.8%)</c:v>
                </c:pt>
                <c:pt idx="1">
                  <c:v>Державне управління(10.2%)</c:v>
                </c:pt>
                <c:pt idx="2">
                  <c:v>Соціальний захист(0.5%)</c:v>
                </c:pt>
                <c:pt idx="3">
                  <c:v>Культура(3.8%)</c:v>
                </c:pt>
                <c:pt idx="4">
                  <c:v>Житлово-комунальне господарство(1.8%)</c:v>
                </c:pt>
                <c:pt idx="5">
                  <c:v>Первинна медична допомога населенню(4.5%)</c:v>
                </c:pt>
                <c:pt idx="6">
                  <c:v>Економічна діяльність(1.4%)</c:v>
                </c:pt>
                <c:pt idx="7">
                  <c:v>Міжбюджетні трансферти(0.8%)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76.8</c:v>
                </c:pt>
                <c:pt idx="1">
                  <c:v>10.200000000000001</c:v>
                </c:pt>
                <c:pt idx="2">
                  <c:v>0.5</c:v>
                </c:pt>
                <c:pt idx="3">
                  <c:v>3.8</c:v>
                </c:pt>
                <c:pt idx="4">
                  <c:v>1.8</c:v>
                </c:pt>
                <c:pt idx="5">
                  <c:v>4.5</c:v>
                </c:pt>
                <c:pt idx="6">
                  <c:v>1.4</c:v>
                </c:pt>
                <c:pt idx="7">
                  <c:v>0.8</c:v>
                </c:pt>
              </c:numCache>
            </c:numRef>
          </c:val>
        </c:ser>
      </c:pie3DChart>
      <c:spPr>
        <a:noFill/>
        <a:ln w="25381">
          <a:noFill/>
        </a:ln>
      </c:spPr>
    </c:plotArea>
    <c:legend>
      <c:legendPos val="b"/>
      <c:spPr>
        <a:noFill/>
        <a:ln w="2538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6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Image&amp;Matros ®</cp:lastModifiedBy>
  <cp:revision>2</cp:revision>
  <cp:lastPrinted>2022-09-22T06:31:00Z</cp:lastPrinted>
  <dcterms:created xsi:type="dcterms:W3CDTF">2022-09-28T07:33:00Z</dcterms:created>
  <dcterms:modified xsi:type="dcterms:W3CDTF">2022-09-28T07:33:00Z</dcterms:modified>
</cp:coreProperties>
</file>