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ПОЯСНЮВАЛЬНА </w:t>
      </w:r>
    </w:p>
    <w:p w:rsidR="00591B4D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  бюджету </w:t>
      </w:r>
      <w:proofErr w:type="spellStart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</w:t>
      </w:r>
    </w:p>
    <w:p w:rsidR="00591B4D" w:rsidRPr="00E77074" w:rsidRDefault="00591B4D" w:rsidP="00591B4D">
      <w:pPr>
        <w:spacing w:before="67" w:line="220" w:lineRule="exact"/>
        <w:jc w:val="center"/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</w:t>
      </w:r>
      <w:r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</w:t>
      </w:r>
    </w:p>
    <w:p w:rsidR="00591B4D" w:rsidRDefault="00591B4D" w:rsidP="00591B4D">
      <w:pPr>
        <w:ind w:firstLine="54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1B4D" w:rsidRPr="00E77074" w:rsidRDefault="00591B4D" w:rsidP="00591B4D">
      <w:pPr>
        <w:ind w:firstLine="54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до бюджету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рік ґрунтуються на положеннях Конституції України, Бюджетного та Податкового кодексів України, постанови Кабінету Міністрів України від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11.03.2022 року № 252 «Про деякі питання  формування і виконання місцевих бюджетів у період воєнного стану». </w:t>
      </w:r>
    </w:p>
    <w:p w:rsidR="00591B4D" w:rsidRPr="00E77074" w:rsidRDefault="00591B4D" w:rsidP="00591B4D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Складання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бюджету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здійснювалось з дотриманням вимог Бюджетного та Податкового кодексів України з урахуванням прийнятих законодавчих змін.</w:t>
      </w:r>
    </w:p>
    <w:p w:rsidR="00591B4D" w:rsidRPr="00E77074" w:rsidRDefault="00591B4D" w:rsidP="00591B4D">
      <w:pPr>
        <w:widowControl w:val="0"/>
        <w:tabs>
          <w:tab w:val="left" w:pos="900"/>
        </w:tabs>
        <w:jc w:val="both"/>
        <w:textAlignment w:val="baseline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визначенні доходів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на 202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враховано:</w:t>
      </w:r>
    </w:p>
    <w:p w:rsidR="00591B4D" w:rsidRPr="00E77074" w:rsidRDefault="00591B4D" w:rsidP="00591B4D">
      <w:pPr>
        <w:numPr>
          <w:ilvl w:val="0"/>
          <w:numId w:val="1"/>
        </w:numPr>
        <w:spacing w:line="252" w:lineRule="auto"/>
        <w:jc w:val="both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фактичне виконання доходної частини бюджету </w:t>
      </w:r>
      <w:proofErr w:type="spellStart"/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протягом 20</w:t>
      </w:r>
      <w:r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21-2022</w:t>
      </w: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років;</w:t>
      </w:r>
    </w:p>
    <w:p w:rsidR="00591B4D" w:rsidRPr="00E77074" w:rsidRDefault="00591B4D" w:rsidP="00591B4D">
      <w:pPr>
        <w:widowControl w:val="0"/>
        <w:numPr>
          <w:ilvl w:val="0"/>
          <w:numId w:val="1"/>
        </w:numPr>
        <w:tabs>
          <w:tab w:val="left" w:pos="900"/>
        </w:tabs>
        <w:jc w:val="both"/>
        <w:textAlignment w:val="baseline"/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норми Бюджетного та Податкового кодексів України з урахуванням внесених змін, рішення  сільської ради про встановлення місцевих податків та зборів на 202</w:t>
      </w:r>
      <w:r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i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рік;</w:t>
      </w:r>
    </w:p>
    <w:p w:rsidR="00591B4D" w:rsidRPr="00E77074" w:rsidRDefault="00591B4D" w:rsidP="00591B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i/>
          <w:iCs/>
          <w:color w:val="000000" w:themeColor="text1"/>
          <w:sz w:val="28"/>
          <w:szCs w:val="28"/>
          <w:lang w:val="uk-UA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Видаткову частину бюджету </w:t>
      </w:r>
      <w:proofErr w:type="spellStart"/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визначено, виходячи із наявних можливостей ресурсної частини бюджету. Видатки заплановано на забезпечення належного  функціонування  установ соціально-культурної сфери, гарантованого соціального захисту мешканців громади .</w:t>
      </w:r>
    </w:p>
    <w:p w:rsidR="00591B4D" w:rsidRPr="00E77074" w:rsidRDefault="00591B4D" w:rsidP="00591B4D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бюджеті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територіальної громади на 202</w:t>
      </w:r>
      <w:r w:rsidR="001D1DE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збережено принцип соціальної спрямованості: соціально захищені видатки становлять </w:t>
      </w:r>
      <w:r w:rsidR="001403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73,1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% (</w:t>
      </w:r>
      <w:r w:rsidR="001403E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33,2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млн. гривень). </w:t>
      </w:r>
    </w:p>
    <w:p w:rsidR="00591B4D" w:rsidRDefault="00591B4D" w:rsidP="00591B4D">
      <w:pPr>
        <w:rPr>
          <w:color w:val="002060"/>
          <w:sz w:val="28"/>
          <w:szCs w:val="28"/>
        </w:rPr>
      </w:pPr>
    </w:p>
    <w:p w:rsidR="00591B4D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1B4D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1B4D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1B4D" w:rsidRDefault="00591B4D" w:rsidP="00591B4D">
      <w:pPr>
        <w:pStyle w:val="a5"/>
        <w:spacing w:line="240" w:lineRule="auto"/>
        <w:ind w:righ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Доходна частина бюджету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Грушівської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сільської територіальної громади  на 2023 рік</w:t>
      </w:r>
    </w:p>
    <w:p w:rsidR="00591B4D" w:rsidRDefault="00591B4D" w:rsidP="00591B4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91B4D" w:rsidRDefault="00591B4D" w:rsidP="00591B4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Прогнозні показники доходної частини бюджету </w:t>
      </w:r>
      <w:proofErr w:type="spellStart"/>
      <w:r>
        <w:rPr>
          <w:bCs/>
          <w:sz w:val="28"/>
          <w:szCs w:val="28"/>
        </w:rPr>
        <w:t>Грушівської</w:t>
      </w:r>
      <w:proofErr w:type="spellEnd"/>
      <w:r>
        <w:rPr>
          <w:bCs/>
          <w:sz w:val="28"/>
          <w:szCs w:val="28"/>
        </w:rPr>
        <w:t xml:space="preserve"> сільської територіальної громади  на 202</w:t>
      </w:r>
      <w:r w:rsidRPr="007A5FF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рік розроблено на базі основних прогнозних </w:t>
      </w:r>
      <w:proofErr w:type="spellStart"/>
      <w:r>
        <w:rPr>
          <w:bCs/>
          <w:sz w:val="28"/>
          <w:szCs w:val="28"/>
        </w:rPr>
        <w:t>макропоказників</w:t>
      </w:r>
      <w:proofErr w:type="spellEnd"/>
      <w:r>
        <w:rPr>
          <w:bCs/>
          <w:sz w:val="28"/>
          <w:szCs w:val="28"/>
        </w:rPr>
        <w:t xml:space="preserve"> економічного і соціального розвитку України, які були надані листом Мінекономіки від 08.07.2022</w:t>
      </w:r>
      <w:r>
        <w:rPr>
          <w:bCs/>
          <w:iCs/>
          <w:sz w:val="28"/>
          <w:szCs w:val="28"/>
        </w:rPr>
        <w:t>,</w:t>
      </w:r>
      <w:r>
        <w:rPr>
          <w:bCs/>
          <w:sz w:val="28"/>
          <w:szCs w:val="28"/>
        </w:rPr>
        <w:t xml:space="preserve"> норм Податкового та Бюджетного кодексів України та інших законодавчих актів, фактичних надходжень у поточному та попередніх бюджетних періодах, рішенням виконавчого комітету </w:t>
      </w:r>
      <w:proofErr w:type="spellStart"/>
      <w:r>
        <w:rPr>
          <w:bCs/>
          <w:sz w:val="28"/>
          <w:szCs w:val="28"/>
        </w:rPr>
        <w:t>Грушівської</w:t>
      </w:r>
      <w:proofErr w:type="spellEnd"/>
      <w:r>
        <w:rPr>
          <w:bCs/>
          <w:sz w:val="28"/>
          <w:szCs w:val="28"/>
        </w:rPr>
        <w:t xml:space="preserve"> сільської ради </w:t>
      </w:r>
      <w:r w:rsidRPr="0050694E">
        <w:rPr>
          <w:bCs/>
          <w:color w:val="000000" w:themeColor="text1"/>
          <w:sz w:val="28"/>
          <w:szCs w:val="28"/>
        </w:rPr>
        <w:t xml:space="preserve">№ 281 від 12 липня 2022 року </w:t>
      </w:r>
      <w:r>
        <w:rPr>
          <w:bCs/>
          <w:sz w:val="28"/>
          <w:szCs w:val="28"/>
        </w:rPr>
        <w:t xml:space="preserve">про встановлення місцевих податків і зборів, ураховуючи при цьому чинні ставки оподаткування та нормативи зарахування загальнодержавних податків до місцевого бюджету. </w:t>
      </w:r>
    </w:p>
    <w:p w:rsidR="00591B4D" w:rsidRDefault="00591B4D" w:rsidP="00591B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З урахуванням зазначеного прогнозний обсяг  доходів сільського бюджету на 2023 рік з урахуванням міжбюджетних трансфертів обраховано в сумі  </w:t>
      </w:r>
      <w:r w:rsidRPr="0050694E">
        <w:rPr>
          <w:color w:val="FF0000"/>
          <w:sz w:val="28"/>
          <w:szCs w:val="28"/>
        </w:rPr>
        <w:t xml:space="preserve">43 054,6 </w:t>
      </w:r>
      <w:r>
        <w:rPr>
          <w:sz w:val="28"/>
          <w:szCs w:val="28"/>
        </w:rPr>
        <w:t xml:space="preserve">тис. грн.,  в тому числі міжбюджетні трансферти – </w:t>
      </w:r>
      <w:r w:rsidR="0057229F">
        <w:rPr>
          <w:sz w:val="28"/>
          <w:szCs w:val="28"/>
        </w:rPr>
        <w:t>31 030,0</w:t>
      </w:r>
      <w:r>
        <w:rPr>
          <w:sz w:val="28"/>
          <w:szCs w:val="28"/>
        </w:rPr>
        <w:t xml:space="preserve"> тис. грн., доходи загального фонду – </w:t>
      </w:r>
      <w:r w:rsidRPr="0050694E">
        <w:rPr>
          <w:color w:val="FF0000"/>
          <w:sz w:val="28"/>
          <w:szCs w:val="28"/>
        </w:rPr>
        <w:t xml:space="preserve">14 379,2 </w:t>
      </w:r>
      <w:r>
        <w:rPr>
          <w:sz w:val="28"/>
          <w:szCs w:val="28"/>
        </w:rPr>
        <w:t xml:space="preserve">тис. грн, спеціального фонду – 14,5 тис . грн.  </w:t>
      </w:r>
    </w:p>
    <w:p w:rsidR="00591B4D" w:rsidRDefault="00591B4D" w:rsidP="00591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Власні доходи загального фонду</w:t>
      </w:r>
      <w:r>
        <w:rPr>
          <w:sz w:val="28"/>
          <w:szCs w:val="28"/>
        </w:rPr>
        <w:t xml:space="preserve"> бюджету </w:t>
      </w:r>
      <w:proofErr w:type="spellStart"/>
      <w:r>
        <w:rPr>
          <w:sz w:val="28"/>
          <w:szCs w:val="28"/>
        </w:rPr>
        <w:t>Грушівської</w:t>
      </w:r>
      <w:proofErr w:type="spellEnd"/>
      <w:r>
        <w:rPr>
          <w:sz w:val="28"/>
          <w:szCs w:val="28"/>
        </w:rPr>
        <w:t xml:space="preserve"> сільської територіальної громади у 2023 році  затверджено  у сумі </w:t>
      </w:r>
      <w:r w:rsidRPr="0050694E">
        <w:rPr>
          <w:color w:val="FF0000"/>
          <w:sz w:val="28"/>
          <w:szCs w:val="28"/>
        </w:rPr>
        <w:t xml:space="preserve">14 379,2 </w:t>
      </w:r>
      <w:r>
        <w:rPr>
          <w:sz w:val="28"/>
          <w:szCs w:val="28"/>
        </w:rPr>
        <w:t>тис. гривень, що на 1613,9 тис. гривень або на 11% менше уточненого річного плану на 2022 рік.</w:t>
      </w:r>
    </w:p>
    <w:p w:rsidR="00591B4D" w:rsidRDefault="00591B4D" w:rsidP="00591B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Основним джерелом наповнення доходної частини загального фонду бюджету громади є </w:t>
      </w:r>
      <w:r>
        <w:rPr>
          <w:b/>
          <w:sz w:val="28"/>
          <w:szCs w:val="28"/>
        </w:rPr>
        <w:t>податок на доходи фізичних осіб</w:t>
      </w:r>
      <w:r>
        <w:rPr>
          <w:sz w:val="28"/>
          <w:szCs w:val="28"/>
        </w:rPr>
        <w:t xml:space="preserve">, питома вага якого в доходах загального фонду становить 59,91%. Надходження даного податку  обраховані в сумі 8 589,7 </w:t>
      </w:r>
      <w:r>
        <w:rPr>
          <w:sz w:val="28"/>
          <w:szCs w:val="28"/>
          <w:lang w:bidi="te-IN"/>
        </w:rPr>
        <w:t xml:space="preserve">тис. грн, що на 475,2 тис. грн., або на 4% менше уточненого плану у 2022 році. </w:t>
      </w:r>
      <w:r>
        <w:rPr>
          <w:sz w:val="28"/>
          <w:szCs w:val="28"/>
        </w:rPr>
        <w:t>Зменшення податку спричинене скороченням платників податку.</w:t>
      </w:r>
    </w:p>
    <w:p w:rsidR="00591B4D" w:rsidRDefault="00591B4D" w:rsidP="00591B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Рентна плата за користування надрами для видобування корисних копалин загальнодержавного значення </w:t>
      </w:r>
      <w:r>
        <w:rPr>
          <w:sz w:val="28"/>
          <w:szCs w:val="28"/>
        </w:rPr>
        <w:t xml:space="preserve">заплановано в сумі 60,0 тис. грн. на рівні надходжень 2022 року. </w:t>
      </w:r>
    </w:p>
    <w:p w:rsidR="00591B4D" w:rsidRDefault="00591B4D" w:rsidP="00591B4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Прогнозні надходження </w:t>
      </w:r>
      <w:r>
        <w:rPr>
          <w:b/>
          <w:color w:val="000000"/>
          <w:sz w:val="28"/>
          <w:szCs w:val="28"/>
        </w:rPr>
        <w:t>акцизного податку з реалізації суб’єктами господарювання роздрібної торгівлі підакцизних товарів</w:t>
      </w:r>
      <w:r>
        <w:rPr>
          <w:color w:val="000000"/>
          <w:sz w:val="28"/>
          <w:szCs w:val="28"/>
        </w:rPr>
        <w:t xml:space="preserve"> визначені згідно з чинним законодавством та відповідно до темпів щомісячних надходжень поточного року і обраховано в сумі </w:t>
      </w:r>
      <w:r>
        <w:rPr>
          <w:b/>
          <w:color w:val="000000"/>
          <w:sz w:val="28"/>
          <w:szCs w:val="28"/>
        </w:rPr>
        <w:t>77,8 тис. гривень</w:t>
      </w:r>
      <w:r>
        <w:rPr>
          <w:color w:val="000000"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     </w:t>
      </w:r>
    </w:p>
    <w:p w:rsidR="00591B4D" w:rsidRPr="00670670" w:rsidRDefault="00591B4D" w:rsidP="00591B4D">
      <w:pPr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b/>
          <w:bCs/>
          <w:iCs/>
          <w:snapToGrid w:val="0"/>
          <w:color w:val="000000"/>
          <w:sz w:val="28"/>
          <w:szCs w:val="28"/>
        </w:rPr>
        <w:t>Земельного податку</w:t>
      </w:r>
      <w:r>
        <w:rPr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>до  бюджету громади у 2023 році</w:t>
      </w:r>
      <w:r>
        <w:rPr>
          <w:bCs/>
          <w:iCs/>
          <w:snapToGrid w:val="0"/>
          <w:color w:val="000000"/>
          <w:sz w:val="28"/>
          <w:szCs w:val="28"/>
        </w:rPr>
        <w:t xml:space="preserve"> прогнозується в сумі </w:t>
      </w:r>
      <w:r>
        <w:rPr>
          <w:b/>
          <w:bCs/>
          <w:iCs/>
          <w:snapToGrid w:val="0"/>
          <w:color w:val="000000"/>
          <w:sz w:val="28"/>
          <w:szCs w:val="28"/>
        </w:rPr>
        <w:t>3 245,8 тис. грн</w:t>
      </w:r>
      <w:r>
        <w:rPr>
          <w:bCs/>
          <w:iCs/>
          <w:snapToGrid w:val="0"/>
          <w:color w:val="000000"/>
          <w:sz w:val="28"/>
          <w:szCs w:val="28"/>
        </w:rPr>
        <w:t xml:space="preserve">. </w:t>
      </w:r>
      <w:r>
        <w:rPr>
          <w:iCs/>
          <w:snapToGrid w:val="0"/>
          <w:color w:val="000000"/>
          <w:sz w:val="28"/>
          <w:szCs w:val="28"/>
        </w:rPr>
        <w:t>В порівнянні з 2022 роком показник зросте на 589,5 тис. грн.(18%) проти очікуваних надходжень</w:t>
      </w:r>
      <w:r w:rsidRPr="0050694E">
        <w:rPr>
          <w:iCs/>
          <w:snapToGrid w:val="0"/>
          <w:color w:val="000000" w:themeColor="text1"/>
          <w:sz w:val="28"/>
          <w:szCs w:val="28"/>
        </w:rPr>
        <w:t xml:space="preserve">. </w:t>
      </w:r>
      <w:r w:rsidRPr="00C93B55">
        <w:rPr>
          <w:iCs/>
          <w:snapToGrid w:val="0"/>
          <w:color w:val="000000" w:themeColor="text1"/>
          <w:sz w:val="28"/>
          <w:szCs w:val="28"/>
        </w:rPr>
        <w:t xml:space="preserve">Зростання зумовлене </w:t>
      </w:r>
      <w:r>
        <w:rPr>
          <w:iCs/>
          <w:snapToGrid w:val="0"/>
          <w:color w:val="000000" w:themeColor="text1"/>
          <w:sz w:val="28"/>
          <w:szCs w:val="28"/>
        </w:rPr>
        <w:t>зміною системи оподаткування  П</w:t>
      </w:r>
      <w:r w:rsidRPr="00C93B55">
        <w:rPr>
          <w:iCs/>
          <w:snapToGrid w:val="0"/>
          <w:color w:val="000000" w:themeColor="text1"/>
          <w:sz w:val="28"/>
          <w:szCs w:val="28"/>
        </w:rPr>
        <w:t>В</w:t>
      </w:r>
      <w:r>
        <w:rPr>
          <w:iCs/>
          <w:snapToGrid w:val="0"/>
          <w:color w:val="000000" w:themeColor="text1"/>
          <w:sz w:val="28"/>
          <w:szCs w:val="28"/>
        </w:rPr>
        <w:t>Ф АГРОЦЕНТР</w:t>
      </w:r>
      <w:r w:rsidRPr="00C93B55">
        <w:rPr>
          <w:iCs/>
          <w:snapToGrid w:val="0"/>
          <w:color w:val="000000" w:themeColor="text1"/>
          <w:sz w:val="28"/>
          <w:szCs w:val="28"/>
        </w:rPr>
        <w:t>.</w:t>
      </w:r>
    </w:p>
    <w:p w:rsidR="00591B4D" w:rsidRDefault="00591B4D" w:rsidP="00591B4D">
      <w:pPr>
        <w:jc w:val="both"/>
        <w:rPr>
          <w:b/>
          <w:bCs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 xml:space="preserve">      </w:t>
      </w:r>
      <w:r>
        <w:rPr>
          <w:b/>
          <w:bCs/>
          <w:iCs/>
          <w:snapToGrid w:val="0"/>
          <w:color w:val="000000"/>
          <w:sz w:val="28"/>
          <w:szCs w:val="28"/>
        </w:rPr>
        <w:t>Податок на майно</w:t>
      </w:r>
      <w:r>
        <w:rPr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>до  бюджету громади у 2023 році</w:t>
      </w:r>
      <w:r>
        <w:rPr>
          <w:bCs/>
          <w:iCs/>
          <w:snapToGrid w:val="0"/>
          <w:color w:val="000000"/>
          <w:sz w:val="28"/>
          <w:szCs w:val="28"/>
        </w:rPr>
        <w:t xml:space="preserve"> прогнозується залучити в сумі </w:t>
      </w:r>
      <w:r>
        <w:rPr>
          <w:b/>
          <w:bCs/>
          <w:iCs/>
          <w:snapToGrid w:val="0"/>
          <w:color w:val="000000"/>
          <w:sz w:val="28"/>
          <w:szCs w:val="28"/>
        </w:rPr>
        <w:t>290,9 тис. грн</w:t>
      </w:r>
      <w:r>
        <w:rPr>
          <w:bCs/>
          <w:iCs/>
          <w:snapToGrid w:val="0"/>
          <w:color w:val="000000"/>
          <w:sz w:val="28"/>
          <w:szCs w:val="28"/>
        </w:rPr>
        <w:t xml:space="preserve">. </w:t>
      </w:r>
      <w:r>
        <w:rPr>
          <w:iCs/>
          <w:snapToGrid w:val="0"/>
          <w:color w:val="000000"/>
          <w:sz w:val="28"/>
          <w:szCs w:val="28"/>
        </w:rPr>
        <w:t>на рівні 2022 року.</w:t>
      </w:r>
      <w:r>
        <w:rPr>
          <w:sz w:val="28"/>
          <w:szCs w:val="28"/>
        </w:rPr>
        <w:t xml:space="preserve">    </w:t>
      </w:r>
    </w:p>
    <w:p w:rsidR="00591B4D" w:rsidRDefault="00591B4D" w:rsidP="00591B4D">
      <w:pPr>
        <w:pStyle w:val="a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Транспортний податок з фізичних осіб </w:t>
      </w:r>
      <w:r>
        <w:rPr>
          <w:rFonts w:ascii="Times New Roman" w:hAnsi="Times New Roman"/>
          <w:bCs/>
          <w:sz w:val="28"/>
          <w:szCs w:val="28"/>
        </w:rPr>
        <w:t xml:space="preserve">заплановано на 2023 рік  в сумі 20,0 тис. грн. </w:t>
      </w:r>
    </w:p>
    <w:p w:rsidR="00591B4D" w:rsidRPr="00C93B55" w:rsidRDefault="00591B4D" w:rsidP="00591B4D">
      <w:pPr>
        <w:ind w:firstLine="851"/>
        <w:jc w:val="both"/>
        <w:rPr>
          <w:iCs/>
          <w:snapToGrid w:val="0"/>
          <w:color w:val="000000" w:themeColor="text1"/>
          <w:sz w:val="28"/>
          <w:szCs w:val="28"/>
        </w:rPr>
      </w:pPr>
      <w:r>
        <w:rPr>
          <w:bCs/>
          <w:iCs/>
          <w:snapToGrid w:val="0"/>
          <w:color w:val="000000"/>
          <w:sz w:val="28"/>
          <w:szCs w:val="28"/>
        </w:rPr>
        <w:t>Прогнозна</w:t>
      </w:r>
      <w:r>
        <w:rPr>
          <w:iCs/>
          <w:snapToGrid w:val="0"/>
          <w:color w:val="000000"/>
          <w:sz w:val="28"/>
          <w:szCs w:val="28"/>
        </w:rPr>
        <w:t xml:space="preserve"> сума надходжень </w:t>
      </w:r>
      <w:r>
        <w:rPr>
          <w:b/>
          <w:bCs/>
          <w:iCs/>
          <w:snapToGrid w:val="0"/>
          <w:color w:val="000000"/>
          <w:sz w:val="28"/>
          <w:szCs w:val="28"/>
        </w:rPr>
        <w:t>єдиного податку</w:t>
      </w:r>
      <w:r>
        <w:rPr>
          <w:iCs/>
          <w:snapToGrid w:val="0"/>
          <w:color w:val="000000"/>
          <w:sz w:val="28"/>
          <w:szCs w:val="28"/>
        </w:rPr>
        <w:t xml:space="preserve"> на </w:t>
      </w:r>
      <w:r>
        <w:rPr>
          <w:bCs/>
          <w:iCs/>
          <w:snapToGrid w:val="0"/>
          <w:color w:val="000000"/>
          <w:sz w:val="28"/>
          <w:szCs w:val="28"/>
        </w:rPr>
        <w:t xml:space="preserve">2023 рік </w:t>
      </w:r>
      <w:r>
        <w:rPr>
          <w:iCs/>
          <w:snapToGrid w:val="0"/>
          <w:color w:val="000000"/>
          <w:sz w:val="28"/>
          <w:szCs w:val="28"/>
        </w:rPr>
        <w:t xml:space="preserve">становить                                 </w:t>
      </w:r>
      <w:r>
        <w:rPr>
          <w:b/>
          <w:iCs/>
          <w:snapToGrid w:val="0"/>
          <w:color w:val="000000"/>
          <w:sz w:val="28"/>
          <w:szCs w:val="28"/>
        </w:rPr>
        <w:t>2 030,3 т</w:t>
      </w:r>
      <w:r>
        <w:rPr>
          <w:b/>
          <w:bCs/>
          <w:iCs/>
          <w:snapToGrid w:val="0"/>
          <w:color w:val="000000"/>
          <w:sz w:val="28"/>
          <w:szCs w:val="28"/>
        </w:rPr>
        <w:t>ис. грн.</w:t>
      </w:r>
      <w:r>
        <w:rPr>
          <w:bCs/>
          <w:iCs/>
          <w:snapToGrid w:val="0"/>
          <w:color w:val="000000"/>
          <w:sz w:val="28"/>
          <w:szCs w:val="28"/>
        </w:rPr>
        <w:t>,</w:t>
      </w:r>
      <w:r>
        <w:rPr>
          <w:b/>
          <w:bCs/>
          <w:iCs/>
          <w:snapToGrid w:val="0"/>
          <w:color w:val="000000"/>
          <w:sz w:val="28"/>
          <w:szCs w:val="28"/>
        </w:rPr>
        <w:t xml:space="preserve"> </w:t>
      </w:r>
      <w:r>
        <w:rPr>
          <w:bCs/>
          <w:iCs/>
          <w:snapToGrid w:val="0"/>
          <w:color w:val="000000"/>
          <w:sz w:val="28"/>
          <w:szCs w:val="28"/>
        </w:rPr>
        <w:t>п</w:t>
      </w:r>
      <w:r>
        <w:rPr>
          <w:iCs/>
          <w:snapToGrid w:val="0"/>
          <w:color w:val="000000"/>
          <w:sz w:val="28"/>
          <w:szCs w:val="28"/>
        </w:rPr>
        <w:t>итома вага в загальному обсязі власних надходжень – 14%. Показник зменшиться  на 1 529,5 тис. грн.(18%) проти очікуваних надходжень 2022 року</w:t>
      </w:r>
      <w:r w:rsidRPr="00670670">
        <w:rPr>
          <w:iCs/>
          <w:snapToGrid w:val="0"/>
          <w:color w:val="FF0000"/>
          <w:sz w:val="28"/>
          <w:szCs w:val="28"/>
        </w:rPr>
        <w:t xml:space="preserve">. </w:t>
      </w:r>
      <w:r w:rsidRPr="00C93B55">
        <w:rPr>
          <w:iCs/>
          <w:snapToGrid w:val="0"/>
          <w:color w:val="000000" w:themeColor="text1"/>
          <w:sz w:val="28"/>
          <w:szCs w:val="28"/>
        </w:rPr>
        <w:t>Значне зменшення податку зумовлене зміною системи оподаткування ПВФ А</w:t>
      </w:r>
      <w:r>
        <w:rPr>
          <w:iCs/>
          <w:snapToGrid w:val="0"/>
          <w:color w:val="000000" w:themeColor="text1"/>
          <w:sz w:val="28"/>
          <w:szCs w:val="28"/>
        </w:rPr>
        <w:t>ГРОЦЕНТР</w:t>
      </w:r>
      <w:r w:rsidRPr="00C93B55">
        <w:rPr>
          <w:iCs/>
          <w:snapToGrid w:val="0"/>
          <w:color w:val="000000" w:themeColor="text1"/>
          <w:sz w:val="28"/>
          <w:szCs w:val="28"/>
        </w:rPr>
        <w:t xml:space="preserve"> та зменшення платників єдиного податку, а саме:</w:t>
      </w:r>
    </w:p>
    <w:p w:rsidR="00591B4D" w:rsidRPr="00C93B55" w:rsidRDefault="00591B4D" w:rsidP="00591B4D">
      <w:pPr>
        <w:ind w:firstLine="851"/>
        <w:jc w:val="both"/>
        <w:rPr>
          <w:iCs/>
          <w:snapToGrid w:val="0"/>
          <w:color w:val="000000" w:themeColor="text1"/>
          <w:sz w:val="28"/>
          <w:szCs w:val="28"/>
        </w:rPr>
      </w:pPr>
      <w:r w:rsidRPr="00C93B55">
        <w:rPr>
          <w:iCs/>
          <w:snapToGrid w:val="0"/>
          <w:color w:val="000000" w:themeColor="text1"/>
          <w:sz w:val="28"/>
          <w:szCs w:val="28"/>
        </w:rPr>
        <w:t>І група на 13</w:t>
      </w:r>
      <w:r>
        <w:rPr>
          <w:iCs/>
          <w:snapToGrid w:val="0"/>
          <w:color w:val="000000" w:themeColor="text1"/>
          <w:sz w:val="28"/>
          <w:szCs w:val="28"/>
        </w:rPr>
        <w:t xml:space="preserve"> платників</w:t>
      </w:r>
    </w:p>
    <w:p w:rsidR="00591B4D" w:rsidRPr="00C93B55" w:rsidRDefault="00591B4D" w:rsidP="00591B4D">
      <w:pPr>
        <w:ind w:firstLine="851"/>
        <w:jc w:val="both"/>
        <w:rPr>
          <w:iCs/>
          <w:snapToGrid w:val="0"/>
          <w:color w:val="000000" w:themeColor="text1"/>
          <w:sz w:val="28"/>
          <w:szCs w:val="28"/>
        </w:rPr>
      </w:pPr>
      <w:r w:rsidRPr="00C93B55">
        <w:rPr>
          <w:iCs/>
          <w:snapToGrid w:val="0"/>
          <w:color w:val="000000" w:themeColor="text1"/>
          <w:sz w:val="28"/>
          <w:szCs w:val="28"/>
        </w:rPr>
        <w:t>ІІ група на 40</w:t>
      </w:r>
      <w:r>
        <w:rPr>
          <w:iCs/>
          <w:snapToGrid w:val="0"/>
          <w:color w:val="000000" w:themeColor="text1"/>
          <w:sz w:val="28"/>
          <w:szCs w:val="28"/>
        </w:rPr>
        <w:t xml:space="preserve"> платників</w:t>
      </w:r>
    </w:p>
    <w:p w:rsidR="00591B4D" w:rsidRPr="00C93B55" w:rsidRDefault="00591B4D" w:rsidP="00591B4D">
      <w:pPr>
        <w:ind w:firstLine="851"/>
        <w:jc w:val="both"/>
        <w:rPr>
          <w:iCs/>
          <w:snapToGrid w:val="0"/>
          <w:color w:val="000000" w:themeColor="text1"/>
          <w:sz w:val="28"/>
          <w:szCs w:val="28"/>
        </w:rPr>
      </w:pPr>
      <w:r w:rsidRPr="00C93B55">
        <w:rPr>
          <w:iCs/>
          <w:snapToGrid w:val="0"/>
          <w:color w:val="000000" w:themeColor="text1"/>
          <w:sz w:val="28"/>
          <w:szCs w:val="28"/>
        </w:rPr>
        <w:t xml:space="preserve">ІІІ група на 3  </w:t>
      </w:r>
      <w:r>
        <w:rPr>
          <w:iCs/>
          <w:snapToGrid w:val="0"/>
          <w:color w:val="000000" w:themeColor="text1"/>
          <w:sz w:val="28"/>
          <w:szCs w:val="28"/>
        </w:rPr>
        <w:t>платника</w:t>
      </w:r>
    </w:p>
    <w:p w:rsidR="00591B4D" w:rsidRPr="00C93B55" w:rsidRDefault="00591B4D" w:rsidP="00591B4D">
      <w:pPr>
        <w:ind w:firstLine="851"/>
        <w:jc w:val="both"/>
        <w:rPr>
          <w:iCs/>
          <w:snapToGrid w:val="0"/>
          <w:color w:val="000000" w:themeColor="text1"/>
          <w:sz w:val="28"/>
          <w:szCs w:val="28"/>
        </w:rPr>
      </w:pPr>
      <w:r>
        <w:rPr>
          <w:bCs/>
          <w:iCs/>
          <w:snapToGrid w:val="0"/>
          <w:color w:val="000000"/>
          <w:sz w:val="28"/>
          <w:szCs w:val="28"/>
        </w:rPr>
        <w:t>Прогнозний показник розраховано, виходячи з динаміки надходжень цього податку у 2022 році, збільшення прожиткового мінімуму для працездатних осіб  для платників I групи, зростання мінімальної заробітної плати на 3% для платників II групи, індексу споживчих цін на 2023рік (105,3%) для платників III групи, динаміки платників цього податку.</w:t>
      </w:r>
      <w:r w:rsidRPr="00C93B55">
        <w:rPr>
          <w:iCs/>
          <w:snapToGrid w:val="0"/>
          <w:color w:val="000000" w:themeColor="text1"/>
          <w:sz w:val="28"/>
          <w:szCs w:val="28"/>
        </w:rPr>
        <w:t xml:space="preserve"> </w:t>
      </w:r>
    </w:p>
    <w:p w:rsidR="00591B4D" w:rsidRDefault="00591B4D" w:rsidP="00591B4D">
      <w:pPr>
        <w:ind w:firstLine="851"/>
        <w:jc w:val="both"/>
        <w:rPr>
          <w:bCs/>
          <w:iCs/>
          <w:snapToGrid w:val="0"/>
          <w:color w:val="000000"/>
          <w:sz w:val="28"/>
          <w:szCs w:val="28"/>
        </w:rPr>
      </w:pPr>
    </w:p>
    <w:p w:rsidR="00591B4D" w:rsidRPr="009B477B" w:rsidRDefault="00591B4D" w:rsidP="00591B4D">
      <w:pPr>
        <w:widowControl w:val="0"/>
        <w:spacing w:line="264" w:lineRule="auto"/>
        <w:ind w:firstLine="851"/>
        <w:jc w:val="both"/>
        <w:rPr>
          <w:b/>
          <w:iCs/>
          <w:snapToGrid w:val="0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iCs/>
          <w:snapToGrid w:val="0"/>
          <w:color w:val="000000"/>
          <w:sz w:val="28"/>
          <w:szCs w:val="28"/>
        </w:rPr>
        <w:t xml:space="preserve">Інших надходжень </w:t>
      </w:r>
      <w:r>
        <w:rPr>
          <w:iCs/>
          <w:snapToGrid w:val="0"/>
          <w:color w:val="000000"/>
          <w:sz w:val="28"/>
          <w:szCs w:val="28"/>
        </w:rPr>
        <w:t xml:space="preserve">(адміністративні штрафи, плата за надання адміністративних послуг, мито за оформлення паспортів тощо), заплановано до загального фонду бюджету громади в сумі </w:t>
      </w:r>
      <w:r>
        <w:rPr>
          <w:b/>
          <w:iCs/>
          <w:snapToGrid w:val="0"/>
          <w:color w:val="000000"/>
          <w:sz w:val="28"/>
          <w:szCs w:val="28"/>
        </w:rPr>
        <w:t>64,3 тис. грн.</w:t>
      </w:r>
    </w:p>
    <w:p w:rsidR="00591B4D" w:rsidRDefault="00591B4D" w:rsidP="00591B4D">
      <w:pPr>
        <w:widowControl w:val="0"/>
        <w:spacing w:line="264" w:lineRule="auto"/>
        <w:ind w:firstLine="851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Міжбюджетних трансфертів</w:t>
      </w:r>
      <w:r>
        <w:rPr>
          <w:iCs/>
          <w:snapToGrid w:val="0"/>
          <w:color w:val="000000"/>
          <w:sz w:val="28"/>
          <w:szCs w:val="28"/>
        </w:rPr>
        <w:t xml:space="preserve"> з державного та обласного бюджетів надійде у 2023 році в сумі </w:t>
      </w:r>
      <w:r w:rsidR="0057229F">
        <w:rPr>
          <w:b/>
          <w:iCs/>
          <w:snapToGrid w:val="0"/>
          <w:color w:val="000000"/>
          <w:sz w:val="28"/>
          <w:szCs w:val="28"/>
        </w:rPr>
        <w:t>31 030,0</w:t>
      </w:r>
      <w:r>
        <w:rPr>
          <w:b/>
          <w:iCs/>
          <w:snapToGrid w:val="0"/>
          <w:color w:val="000000"/>
          <w:sz w:val="28"/>
          <w:szCs w:val="28"/>
        </w:rPr>
        <w:t xml:space="preserve"> гривень</w:t>
      </w:r>
      <w:r>
        <w:rPr>
          <w:iCs/>
          <w:snapToGrid w:val="0"/>
          <w:color w:val="000000"/>
          <w:sz w:val="28"/>
          <w:szCs w:val="28"/>
        </w:rPr>
        <w:t xml:space="preserve">, що на </w:t>
      </w:r>
      <w:r w:rsidR="0057229F">
        <w:rPr>
          <w:iCs/>
          <w:snapToGrid w:val="0"/>
          <w:color w:val="FF0000"/>
          <w:sz w:val="28"/>
          <w:szCs w:val="28"/>
        </w:rPr>
        <w:t xml:space="preserve">2,3 </w:t>
      </w:r>
      <w:r w:rsidRPr="0050694E">
        <w:rPr>
          <w:iCs/>
          <w:snapToGrid w:val="0"/>
          <w:color w:val="FF0000"/>
          <w:sz w:val="28"/>
          <w:szCs w:val="28"/>
        </w:rPr>
        <w:t xml:space="preserve"> </w:t>
      </w:r>
      <w:r>
        <w:rPr>
          <w:iCs/>
          <w:snapToGrid w:val="0"/>
          <w:color w:val="000000"/>
          <w:sz w:val="28"/>
          <w:szCs w:val="28"/>
        </w:rPr>
        <w:t xml:space="preserve">тис. грн. </w:t>
      </w:r>
      <w:r w:rsidR="0057229F">
        <w:rPr>
          <w:iCs/>
          <w:snapToGrid w:val="0"/>
          <w:color w:val="000000"/>
          <w:sz w:val="28"/>
          <w:szCs w:val="28"/>
        </w:rPr>
        <w:t xml:space="preserve">більше, </w:t>
      </w:r>
      <w:r>
        <w:rPr>
          <w:iCs/>
          <w:snapToGrid w:val="0"/>
          <w:color w:val="000000"/>
          <w:sz w:val="28"/>
          <w:szCs w:val="28"/>
        </w:rPr>
        <w:t>ніж у 2022 році. У 2023 році надійдуть такі субвенції та дотації: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>з державного бюджету: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базова дотація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>
        <w:rPr>
          <w:b/>
          <w:iCs/>
          <w:snapToGrid w:val="0"/>
          <w:color w:val="000000"/>
          <w:sz w:val="28"/>
          <w:szCs w:val="28"/>
        </w:rPr>
        <w:t>14 659,7 тис. гривень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освітня субвенція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 w:rsidR="0057229F">
        <w:rPr>
          <w:b/>
          <w:iCs/>
          <w:snapToGrid w:val="0"/>
          <w:color w:val="000000"/>
          <w:sz w:val="28"/>
          <w:szCs w:val="28"/>
        </w:rPr>
        <w:t>16 360,7</w:t>
      </w:r>
      <w:r>
        <w:rPr>
          <w:b/>
          <w:iCs/>
          <w:snapToGrid w:val="0"/>
          <w:color w:val="000000"/>
          <w:sz w:val="28"/>
          <w:szCs w:val="28"/>
        </w:rPr>
        <w:t xml:space="preserve"> тис. гривень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iCs/>
          <w:snapToGrid w:val="0"/>
          <w:color w:val="000000"/>
          <w:sz w:val="28"/>
          <w:szCs w:val="28"/>
        </w:rPr>
        <w:t xml:space="preserve">з обласного бюджету (за рахунок трансфертів з державного бюджету): 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>
        <w:rPr>
          <w:b/>
          <w:iCs/>
          <w:snapToGrid w:val="0"/>
          <w:color w:val="000000"/>
          <w:sz w:val="28"/>
          <w:szCs w:val="28"/>
        </w:rPr>
        <w:t>на пільгове медичне обслуговування осіб, які постраждали внаслідок Чорнобильської катастрофи</w:t>
      </w:r>
      <w:r>
        <w:rPr>
          <w:iCs/>
          <w:snapToGrid w:val="0"/>
          <w:color w:val="000000"/>
          <w:sz w:val="28"/>
          <w:szCs w:val="28"/>
        </w:rPr>
        <w:t xml:space="preserve"> – </w:t>
      </w:r>
      <w:r>
        <w:rPr>
          <w:b/>
          <w:iCs/>
          <w:snapToGrid w:val="0"/>
          <w:color w:val="000000"/>
          <w:sz w:val="28"/>
          <w:szCs w:val="28"/>
        </w:rPr>
        <w:t>9,7 тис. гривень</w:t>
      </w:r>
      <w:r>
        <w:rPr>
          <w:iCs/>
          <w:snapToGrid w:val="0"/>
          <w:color w:val="000000"/>
          <w:sz w:val="28"/>
          <w:szCs w:val="28"/>
        </w:rPr>
        <w:t>;</w:t>
      </w:r>
    </w:p>
    <w:p w:rsidR="00591B4D" w:rsidRDefault="00591B4D" w:rsidP="00591B4D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  <w:r w:rsidRPr="003F43DB">
        <w:rPr>
          <w:b/>
          <w:iCs/>
          <w:snapToGrid w:val="0"/>
          <w:color w:val="000000"/>
          <w:sz w:val="28"/>
          <w:szCs w:val="28"/>
        </w:rPr>
        <w:t>До спеціального фонду заплановано</w:t>
      </w:r>
      <w:r>
        <w:rPr>
          <w:iCs/>
          <w:snapToGrid w:val="0"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екологічний податок</w:t>
      </w:r>
      <w:r>
        <w:rPr>
          <w:iCs/>
          <w:sz w:val="28"/>
          <w:szCs w:val="28"/>
        </w:rPr>
        <w:t xml:space="preserve"> у сумі 14,5тис. грн.</w:t>
      </w:r>
    </w:p>
    <w:p w:rsidR="00B203E7" w:rsidRDefault="00B203E7" w:rsidP="00A90C94">
      <w:pPr>
        <w:widowControl w:val="0"/>
        <w:spacing w:line="264" w:lineRule="auto"/>
        <w:ind w:firstLine="708"/>
        <w:jc w:val="both"/>
        <w:rPr>
          <w:iCs/>
          <w:snapToGrid w:val="0"/>
          <w:color w:val="000000"/>
          <w:sz w:val="28"/>
          <w:szCs w:val="28"/>
        </w:rPr>
      </w:pPr>
    </w:p>
    <w:p w:rsidR="00884374" w:rsidRPr="00591B4D" w:rsidRDefault="003D79F8" w:rsidP="00E902A9">
      <w:pPr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884374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Особливості формування видаткової частини бюджету </w:t>
      </w:r>
      <w:proofErr w:type="spellStart"/>
      <w:r w:rsidR="00B962C0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902A9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B962C0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="00884374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громади  на 202</w:t>
      </w:r>
      <w:r w:rsidR="00992A1E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591B4D">
        <w:rPr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</w:p>
    <w:p w:rsidR="00884374" w:rsidRPr="00E77074" w:rsidRDefault="00884374" w:rsidP="00884374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 формуванні видаткової частини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враховані обсяги міжбюджетних трансфертів, визначені у Закон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 « П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 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Державний бюджет України на 2023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рішен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ні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Дніпропетровської обласної ради 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 обласний бюджет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202</w:t>
      </w:r>
      <w:r w:rsidR="00992A1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та прогнозні власні ресурси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громади. </w:t>
      </w:r>
    </w:p>
    <w:p w:rsidR="00884374" w:rsidRPr="00E77074" w:rsidRDefault="00992A1E" w:rsidP="00992A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 здійсненні розрахунку видатків на 202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взято за основу вимоги частини четвертої статті 77 Бюджетного кодексу України щодо врахування у першочерговому порядку потреби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плати, на проведення розрахунків за електричну енергію, водопостачання,</w:t>
      </w:r>
      <w:r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тепло, </w:t>
      </w:r>
      <w:r w:rsidR="00884374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що </w:t>
      </w:r>
      <w:r w:rsidR="00884374"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споживаються бюджетними установами. Відтак, на фінансування вищезазначених видатків протягом наступного року за рахунок різних джерел надходжень буде</w:t>
      </w:r>
      <w:r w:rsidR="00884374" w:rsidRPr="00591B4D">
        <w:rPr>
          <w:b/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спрямовано </w:t>
      </w:r>
      <w:r w:rsidR="0057229F">
        <w:rPr>
          <w:b/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68</w:t>
      </w:r>
      <w:r w:rsidR="00884374" w:rsidRPr="00591B4D">
        <w:rPr>
          <w:b/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% від запланованих витрат (понад </w:t>
      </w:r>
      <w:r w:rsidR="0057229F">
        <w:rPr>
          <w:b/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30,9</w:t>
      </w:r>
      <w:r w:rsidR="00884374" w:rsidRPr="00591B4D">
        <w:rPr>
          <w:b/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млн. гривень).</w:t>
      </w:r>
    </w:p>
    <w:p w:rsidR="00884374" w:rsidRPr="00E77074" w:rsidRDefault="00884374" w:rsidP="0088437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Arial" w:hAnsi="Arial" w:cs="Arial"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bdr w:val="none" w:sz="0" w:space="0" w:color="auto" w:frame="1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Фонд оплати праці працівників установ і закладів бюджетних галузей враховує виплати за посадовими окладами, доплати і надбавки обов'язкового характеру, матеріальну допомогу на оздоровлення окремим категоріям працівників у бюджетній сфері, інші виплати, передбачені чинним законодавством.</w:t>
      </w:r>
    </w:p>
    <w:p w:rsidR="00884374" w:rsidRPr="00E77074" w:rsidRDefault="00E770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бюджеті </w:t>
      </w:r>
      <w:r w:rsidR="00884374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</w:t>
      </w:r>
      <w:r w:rsidR="00884374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на 202</w:t>
      </w:r>
      <w:r w:rsidR="00F95B6F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передбачено: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мінімальну заробітну плату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з: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01 </w:t>
      </w:r>
      <w:r w:rsidR="00F95B6F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січня 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F95B6F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6700 гривень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видатки на встановлення посадового окладу працівника І тарифного розряду Єдиної тарифної сітки з:</w:t>
      </w:r>
    </w:p>
    <w:p w:rsidR="00884374" w:rsidRPr="00E77074" w:rsidRDefault="00884374" w:rsidP="00884374">
      <w:pPr>
        <w:pStyle w:val="tjbmf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01 січня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202</w:t>
      </w:r>
      <w:r w:rsidR="00F95B6F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- </w:t>
      </w:r>
      <w:r w:rsidRPr="00E77074">
        <w:rPr>
          <w:bCs/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2893 гривні</w:t>
      </w:r>
      <w:r w:rsidRPr="00E77074">
        <w:rPr>
          <w:color w:val="000000" w:themeColor="text1"/>
          <w:sz w:val="28"/>
          <w:szCs w:val="28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Розрахунки видатків загального фонду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територіальної громади на 202</w:t>
      </w:r>
      <w:r w:rsidR="00F95B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на оплату бюджетними установами та організаціями комунальних послуг та енергоносіїв здійснювалися, виходячи із очікуваного споживання у 202</w:t>
      </w:r>
      <w:r w:rsidR="00A45D7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році та чинних тарифів, скориг</w:t>
      </w:r>
      <w:r w:rsidR="00A45D7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ованих на індекс споживчих цін. </w:t>
      </w:r>
    </w:p>
    <w:p w:rsidR="00884374" w:rsidRPr="00E77074" w:rsidRDefault="00884374" w:rsidP="00884374">
      <w:pPr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Загальний обсяг видатків бюджету </w:t>
      </w:r>
      <w:proofErr w:type="spellStart"/>
      <w:r w:rsidR="00B962C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територіальної громади з урахуванням міжбюджетних трансфертів з інших бюджетів на 202</w:t>
      </w:r>
      <w:r w:rsidR="00F95B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становитиме  </w:t>
      </w:r>
      <w:r w:rsidR="005722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45423,8 </w:t>
      </w:r>
      <w:proofErr w:type="spellStart"/>
      <w:r w:rsidR="005722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у тому числі видатки загального фонду бюджету </w:t>
      </w:r>
      <w:r w:rsidR="005722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45409,3 </w:t>
      </w:r>
      <w:proofErr w:type="spellStart"/>
      <w:r w:rsidR="005722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видатки спеціального фонду –</w:t>
      </w:r>
      <w:r w:rsidR="00F95B6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14</w:t>
      </w:r>
      <w:r w:rsidR="0057229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,5 тис.</w:t>
      </w:r>
      <w:r w:rsid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E77074" w:rsidRDefault="00884374" w:rsidP="00884374">
      <w:pPr>
        <w:ind w:firstLine="851"/>
        <w:jc w:val="both"/>
        <w:rPr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4374" w:rsidRPr="00E77074" w:rsidRDefault="00E902A9" w:rsidP="00E902A9">
      <w:pPr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Розподіл видатків за бюджетними програмами у розрізі головних розпорядників коштів бюджету </w:t>
      </w:r>
      <w:proofErr w:type="spellStart"/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 громади на 202</w:t>
      </w:r>
      <w:r w:rsidR="0057229F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E77074">
        <w:rPr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</w:t>
      </w:r>
    </w:p>
    <w:p w:rsidR="008448FD" w:rsidRPr="00E77074" w:rsidRDefault="00884374" w:rsidP="008448FD">
      <w:pPr>
        <w:ind w:firstLine="851"/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</w:p>
    <w:p w:rsidR="00884374" w:rsidRPr="00E77074" w:rsidRDefault="00884374" w:rsidP="008448FD">
      <w:pPr>
        <w:ind w:firstLine="851"/>
        <w:rPr>
          <w:bCs/>
          <w:i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Pr="0057229F">
        <w:rPr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видатки на функціонування </w:t>
      </w:r>
      <w:r w:rsidR="008E3C0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виконавчого органу </w:t>
      </w:r>
      <w:r w:rsidR="008E3C0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сільської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ради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пропонуються в обсязі </w:t>
      </w:r>
      <w:r w:rsidR="0057229F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4174,6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по загальному фонду – </w:t>
      </w:r>
      <w:r w:rsidR="0057229F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4174,6</w:t>
      </w:r>
      <w:r w:rsidR="008E3C0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7229F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розрахунок видатків закладено штатну чисельність в кількості </w:t>
      </w:r>
      <w:r w:rsidR="0057229F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31,5</w:t>
      </w:r>
      <w:r w:rsidR="0067057C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шт.</w:t>
      </w:r>
      <w:r w:rsid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од. </w:t>
      </w:r>
    </w:p>
    <w:p w:rsidR="00A45D79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</w:t>
      </w:r>
    </w:p>
    <w:p w:rsidR="00A45D79" w:rsidRPr="001F2B34" w:rsidRDefault="001F2B34" w:rsidP="005E0B10">
      <w:pPr>
        <w:autoSpaceDE w:val="0"/>
        <w:autoSpaceDN w:val="0"/>
        <w:adjustRightInd w:val="0"/>
        <w:ind w:firstLine="851"/>
        <w:jc w:val="both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2B34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Освіта </w:t>
      </w:r>
    </w:p>
    <w:p w:rsidR="00A45D79" w:rsidRDefault="00A45D79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E0B10" w:rsidRPr="00E77074" w:rsidRDefault="005E0B10" w:rsidP="001F2B3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бюджеті-202</w:t>
      </w:r>
      <w:r w:rsidR="00362D78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утримання установ і закладів освіти, передбачено 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32214,1тис.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загальним фондом – 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32214,1 тис. гривень.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Розрахунок видатків на оплату праці працівників освіти здійснено з урахуванням виконання статті 57 Закону України «Про освіту», в частині виплати педагогічним працівникам надбавки за вислугу років, допомоги на оздоровлення, надання щорічної грошової винагороди за сумлінну працю педагогічним працівникам та надбавки за престижність праці в розмірах, передбачених постановою Кабінету Міністрів України від 23 березня 2011 року № 373 «Про встановлення надбавки педагогічним працівникам закладів     дошкільної, позашкільної, загальної середньої, професійної (професійно-технічної), вищої освіти, інших установ і закладів незалежно від їх підпорядкування»».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утримання 113 -ти дітей у чотирьох  закладах дошкільної освіти за бюджетною програмою «Надання дошкільної освіти» заплановано 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5536,9 тис.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загальним фондом –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5536,9 тис.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гривень, за спеціальним 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фондом видатки не планувались.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організацію харчування дітей в закладах дошкільної освіти заплановані видатки в сумі </w:t>
      </w:r>
      <w:r w:rsidR="00591B4D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200 000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Вартість одного </w:t>
      </w:r>
      <w:proofErr w:type="spellStart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дітодня</w:t>
      </w:r>
      <w:proofErr w:type="spellEnd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харчування становитиме для дітей віком  від  3-6 років  50 грн.</w:t>
      </w:r>
    </w:p>
    <w:p w:rsidR="005E0B10" w:rsidRPr="00E77074" w:rsidRDefault="00E77074" w:rsidP="00E77074">
      <w:pPr>
        <w:pStyle w:val="a7"/>
        <w:tabs>
          <w:tab w:val="clear" w:pos="142"/>
          <w:tab w:val="left" w:pos="708"/>
        </w:tabs>
        <w:spacing w:line="240" w:lineRule="auto"/>
        <w:ind w:right="0"/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="005E0B10" w:rsidRPr="00E77074">
        <w:rPr>
          <w:color w:val="000000" w:themeColor="text1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бюджетною програмою 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5E0B10" w:rsidRPr="00E77074">
        <w:rPr>
          <w:color w:val="000000" w:themeColor="text1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Надання загальної середньої освіти закладами загальної середньої освіти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заплановано  </w:t>
      </w:r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26677, 2 тис.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числі: за рахунок освітньої субвенції з державного бюджету – </w:t>
      </w:r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16360,7 </w:t>
      </w:r>
      <w:proofErr w:type="spellStart"/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, з місцевого бюджету – </w:t>
      </w:r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10 316,5 тис.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 або </w:t>
      </w:r>
      <w:r w:rsidR="001F2B3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58,7</w:t>
      </w:r>
      <w:r w:rsidR="005E0B10" w:rsidRPr="00E77074">
        <w:rPr>
          <w:color w:val="000000" w:themeColor="text1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% від запланованих видатків. </w:t>
      </w:r>
    </w:p>
    <w:p w:rsidR="005E0B10" w:rsidRPr="00E77074" w:rsidRDefault="00E77074" w:rsidP="00E7707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5E0B10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організацію харчування дітей у 3-х  закладах загальної середньої освіти заплановані видатки в сумі </w:t>
      </w:r>
      <w:r w:rsidR="001F2B3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250 000</w:t>
      </w:r>
      <w:r w:rsidR="005517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</w:t>
      </w:r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 вартості </w:t>
      </w:r>
      <w:proofErr w:type="spellStart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дітодня</w:t>
      </w:r>
      <w:proofErr w:type="spellEnd"/>
      <w:r w:rsidR="005E0B10" w:rsidRPr="00E77074">
        <w:rPr>
          <w:bCs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харчування 32 грн. 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E0B10" w:rsidRPr="0055177E" w:rsidRDefault="005E0B10" w:rsidP="005E0B10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77E">
        <w:rPr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КУЛЬТУРА </w:t>
      </w:r>
    </w:p>
    <w:p w:rsidR="005E0B10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E0B10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утримання установ і закладів культури на 202</w:t>
      </w:r>
      <w:r w:rsidR="0055177E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5E0B10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заплановано </w:t>
      </w:r>
      <w:r w:rsidR="0055177E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1586,6 тис.</w:t>
      </w:r>
      <w:r w:rsidR="005E0B10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гривень, з них:</w:t>
      </w:r>
    </w:p>
    <w:p w:rsidR="005E0B10" w:rsidRPr="00E77074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утримання чотирьох бібліотек  – </w:t>
      </w:r>
      <w:r w:rsidR="0055177E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225,7 тис.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5E0B10" w:rsidRDefault="005E0B10" w:rsidP="005E0B10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п'яти  закладів клубного типу – 1</w:t>
      </w:r>
      <w:r w:rsidR="0055177E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360,9 тис.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</w:t>
      </w:r>
    </w:p>
    <w:p w:rsidR="0055177E" w:rsidRPr="0055177E" w:rsidRDefault="0055177E" w:rsidP="009A188C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77E">
        <w:rPr>
          <w:b/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Медицина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«Первинна медична допомога населенню, що надається центрами первинної медичної (медико-санітарної) допомоги» заплановано </w:t>
      </w:r>
      <w:r w:rsidR="005517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1 606,3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у тому числі на: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безоплатні та пільгові медикаменти окремими категоріям громадян відповідно до постанови Кабінету Міністрів України від 17 серпня 1998 року   № 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 - </w:t>
      </w:r>
      <w:r w:rsidR="005517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144,0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884374" w:rsidRPr="0055177E" w:rsidRDefault="00884374" w:rsidP="0055177E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517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оплату комунальних послуг та енергоносіїв –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937,5</w:t>
      </w:r>
      <w:r w:rsidRPr="0055177E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гривень;</w:t>
      </w:r>
    </w:p>
    <w:p w:rsidR="008843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фельдшерських пунктів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(з/ плата)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–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524,8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гривень.</w:t>
      </w:r>
    </w:p>
    <w:p w:rsidR="009A188C" w:rsidRPr="009A188C" w:rsidRDefault="009A188C" w:rsidP="009A188C">
      <w:pPr>
        <w:autoSpaceDE w:val="0"/>
        <w:autoSpaceDN w:val="0"/>
        <w:adjustRightInd w:val="0"/>
        <w:ind w:firstLine="851"/>
        <w:jc w:val="center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Соціальний захист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соціальний захист окремих категорій громадян в бюджеті 202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року заплановано відповідно до заходів Програми соціальної політики </w:t>
      </w:r>
      <w:proofErr w:type="spellStart"/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057C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рік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559,7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тис. гривень, зокрема за бюджетними програмами: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пільгове медичне обслуговування осіб, які постраждали внаслідок Чорнобильської катастрофи, -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9,7 тис.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Джерелом фінансування цих видатків є відповідна субвенція з обласного бюджету;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-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150,0 </w:t>
      </w:r>
      <w:proofErr w:type="spellStart"/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</w:t>
      </w:r>
      <w:proofErr w:type="spellEnd"/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інші заходи у сфері соціального захисту і соціального забезпечення –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400,0 тис.</w:t>
      </w:r>
      <w:r w:rsidR="00D94E3B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гривень. </w:t>
      </w:r>
    </w:p>
    <w:p w:rsidR="00884374" w:rsidRPr="00E77074" w:rsidRDefault="009A188C" w:rsidP="009A188C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="00884374"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Організація благоустрою населених пунктів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 передбачено на 202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рік кошти в сумі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1083,4 тис.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зокрема на:</w:t>
      </w:r>
    </w:p>
    <w:p w:rsidR="00884374" w:rsidRPr="00E77074" w:rsidRDefault="009A188C" w:rsidP="009A188C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лата вуличного освітлення –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83,4 тис.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гривень;</w:t>
      </w:r>
    </w:p>
    <w:p w:rsidR="00884374" w:rsidRPr="00E77074" w:rsidRDefault="00D04E76" w:rsidP="00D04E76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="00884374"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та розвиток автомобільних доріг та дорожньої інфраструктури за рахунок коштів місцевого бюджету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пропонується виділити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2358,2 тис.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у тому числі за напрямами:</w:t>
      </w:r>
    </w:p>
    <w:p w:rsidR="00884374" w:rsidRPr="00E77074" w:rsidRDefault="004E6A65" w:rsidP="004E6A65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поточні ремонти доріг місцевого значення –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2358,2 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84374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гривень.</w:t>
      </w:r>
    </w:p>
    <w:p w:rsidR="00884374" w:rsidRPr="00E77074" w:rsidRDefault="00884374" w:rsidP="00884374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Природоохоронні заходи за рахунок цільових фондів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» передбачено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14 500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гривень, які будуть спрямовані </w:t>
      </w:r>
      <w:r w:rsidR="004E6A6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утилізацію відходів сміттєзвалищ.</w:t>
      </w:r>
    </w:p>
    <w:p w:rsidR="00DC6759" w:rsidRPr="00E77074" w:rsidRDefault="00DC6759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бюджетною програмою «</w:t>
      </w:r>
      <w:r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Забезпечення функціонування підприємств, установ  та організацій ,що виробляють, виконують, або нада</w:t>
      </w:r>
      <w:r w:rsidR="00D04E76"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ють житлово- комунальні послуги </w:t>
      </w:r>
      <w:r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передбачено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448,9 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грн., які будуть спрямовані на утримання соціальних працівників, що обслуговують </w:t>
      </w:r>
      <w:r w:rsidR="00A045D5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жителів громади.</w:t>
      </w:r>
    </w:p>
    <w:p w:rsidR="00A045D5" w:rsidRDefault="00A045D5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бюджетною програмою «</w:t>
      </w:r>
      <w:r w:rsidRPr="009A188C"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Інші заходи, пов'язані з економічною діяльністю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 передбачено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351,9 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грн., які будуть спрямовані на </w:t>
      </w:r>
      <w:r w:rsidR="008448F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утримання КЗ ДОТ « Зміна»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8448FD"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188C" w:rsidRPr="00E77074" w:rsidRDefault="009A188C" w:rsidP="00DC675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Також на 2023 рік заплановано видатки за програмою « Заходи та роботи з територіальної оборони» у сумі 400,00 </w:t>
      </w:r>
      <w:proofErr w:type="spellStart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тис.грн</w:t>
      </w:r>
      <w:proofErr w:type="spellEnd"/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3E4D" w:rsidRPr="00E77074" w:rsidRDefault="00203E4D" w:rsidP="004E6A65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5E0B10" w:rsidP="004E6A65">
      <w:pPr>
        <w:ind w:firstLine="851"/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Фінансовий відділ </w:t>
      </w:r>
    </w:p>
    <w:p w:rsidR="004E6A65" w:rsidRPr="00E77074" w:rsidRDefault="004E6A65" w:rsidP="004E6A65">
      <w:pPr>
        <w:ind w:firstLine="851"/>
        <w:jc w:val="center"/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4E6A65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 бюджетною програмою «Керівництво і управління у відповідній сфері у містах (місті Києві), селищах, селах, територіальних громадах»  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передбачено </w:t>
      </w:r>
      <w:r w:rsidR="009A188C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419,2 тис.</w:t>
      </w: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гривень </w:t>
      </w:r>
      <w:r w:rsidR="0068253D"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03E4D" w:rsidRPr="00E77074" w:rsidRDefault="00203E4D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90C94" w:rsidRPr="00E77074" w:rsidRDefault="00A90C94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бюджету </w:t>
      </w:r>
      <w:proofErr w:type="spellStart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Грушівської</w:t>
      </w:r>
      <w:proofErr w:type="spellEnd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сільської територіальної громади заплановано  трансферти іншим бюджетам, а саме: бюджету </w:t>
      </w:r>
      <w:proofErr w:type="spellStart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Апостолівської</w:t>
      </w:r>
      <w:proofErr w:type="spellEnd"/>
      <w:r w:rsidRPr="00E77074">
        <w:rPr>
          <w:color w:val="000000" w:themeColor="text1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міської територіальної громади на </w:t>
      </w:r>
      <w:proofErr w:type="spellStart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Апостолівський</w:t>
      </w:r>
      <w:proofErr w:type="spellEnd"/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територіальний центр соціального обслуговування для утримання однієї особи </w:t>
      </w:r>
      <w:r w:rsidR="009A188C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206,2 тис.</w:t>
      </w: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грн.;</w:t>
      </w: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759CB" w:rsidRPr="00E77074" w:rsidRDefault="00A759CB" w:rsidP="004E6A6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E6A65" w:rsidRPr="00E77074" w:rsidRDefault="00A759CB" w:rsidP="00A5371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77074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Начальник фінансового відділу:                                Ольга ГАНЖА</w:t>
      </w:r>
      <w:bookmarkStart w:id="0" w:name="_GoBack"/>
      <w:bookmarkEnd w:id="0"/>
    </w:p>
    <w:p w:rsidR="00026828" w:rsidRPr="00E77074" w:rsidRDefault="00026828" w:rsidP="003D79F8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026828" w:rsidRDefault="00026828" w:rsidP="003D79F8">
      <w:pPr>
        <w:rPr>
          <w:color w:val="002060"/>
          <w:sz w:val="28"/>
          <w:szCs w:val="28"/>
        </w:rPr>
      </w:pPr>
    </w:p>
    <w:p w:rsidR="00396D7D" w:rsidRPr="00975151" w:rsidRDefault="003D79F8" w:rsidP="003D79F8">
      <w:r w:rsidRPr="00975151">
        <w:rPr>
          <w:color w:val="002060"/>
          <w:sz w:val="28"/>
          <w:szCs w:val="28"/>
        </w:rPr>
        <w:t xml:space="preserve">   </w:t>
      </w:r>
    </w:p>
    <w:sectPr w:rsidR="00396D7D" w:rsidRPr="009751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5200"/>
    <w:multiLevelType w:val="hybridMultilevel"/>
    <w:tmpl w:val="CDD4ECFA"/>
    <w:lvl w:ilvl="0" w:tplc="BEC4FD1C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4F50110"/>
    <w:multiLevelType w:val="hybridMultilevel"/>
    <w:tmpl w:val="A6E65E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9F8"/>
    <w:rsid w:val="00026828"/>
    <w:rsid w:val="0010245D"/>
    <w:rsid w:val="00124FCA"/>
    <w:rsid w:val="001403EA"/>
    <w:rsid w:val="001D1DED"/>
    <w:rsid w:val="001F2B34"/>
    <w:rsid w:val="00203E4D"/>
    <w:rsid w:val="002C1DE1"/>
    <w:rsid w:val="00362D78"/>
    <w:rsid w:val="003833FA"/>
    <w:rsid w:val="00387491"/>
    <w:rsid w:val="00396D7D"/>
    <w:rsid w:val="003C0603"/>
    <w:rsid w:val="003D79F8"/>
    <w:rsid w:val="004837FA"/>
    <w:rsid w:val="004E6A65"/>
    <w:rsid w:val="0055177E"/>
    <w:rsid w:val="0057229F"/>
    <w:rsid w:val="00591B4D"/>
    <w:rsid w:val="005E0B10"/>
    <w:rsid w:val="0067057C"/>
    <w:rsid w:val="0068253D"/>
    <w:rsid w:val="007B0EBE"/>
    <w:rsid w:val="008448FD"/>
    <w:rsid w:val="008675C7"/>
    <w:rsid w:val="00884374"/>
    <w:rsid w:val="00894C50"/>
    <w:rsid w:val="008A6BAB"/>
    <w:rsid w:val="008C09C9"/>
    <w:rsid w:val="008D0E06"/>
    <w:rsid w:val="008E3C0D"/>
    <w:rsid w:val="00975151"/>
    <w:rsid w:val="00992A1E"/>
    <w:rsid w:val="009A188C"/>
    <w:rsid w:val="00A02A75"/>
    <w:rsid w:val="00A045D5"/>
    <w:rsid w:val="00A45D79"/>
    <w:rsid w:val="00A53715"/>
    <w:rsid w:val="00A759CB"/>
    <w:rsid w:val="00A90C94"/>
    <w:rsid w:val="00B203E7"/>
    <w:rsid w:val="00B962C0"/>
    <w:rsid w:val="00BB47C6"/>
    <w:rsid w:val="00C71AB5"/>
    <w:rsid w:val="00CA101D"/>
    <w:rsid w:val="00D04E76"/>
    <w:rsid w:val="00D94E3B"/>
    <w:rsid w:val="00DC6759"/>
    <w:rsid w:val="00E77074"/>
    <w:rsid w:val="00E902A9"/>
    <w:rsid w:val="00F472C3"/>
    <w:rsid w:val="00F9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37A7D-C74E-4E27-95D1-FBDC73F6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,Обычный (веб) Знак Знак Знак,Обычный (веб) Знак2,Обычный (веб) Знак1 Знак1 Знак Знак Знак,Обычный (веб) Знак1 Знак1 Знак Знак Знак Знак Знак,Обычный (веб) Знак1 Знак1,Обычный (Web)"/>
    <w:basedOn w:val="a"/>
    <w:unhideWhenUsed/>
    <w:rsid w:val="003D79F8"/>
    <w:pPr>
      <w:spacing w:before="100" w:beforeAutospacing="1" w:after="100" w:afterAutospacing="1"/>
    </w:pPr>
    <w:rPr>
      <w:lang w:val="ru-RU"/>
    </w:rPr>
  </w:style>
  <w:style w:type="paragraph" w:styleId="a4">
    <w:name w:val="List Paragraph"/>
    <w:basedOn w:val="a"/>
    <w:uiPriority w:val="34"/>
    <w:qFormat/>
    <w:rsid w:val="002C1DE1"/>
    <w:pPr>
      <w:ind w:left="720"/>
      <w:contextualSpacing/>
    </w:pPr>
  </w:style>
  <w:style w:type="paragraph" w:styleId="a5">
    <w:name w:val="Body Text"/>
    <w:basedOn w:val="a"/>
    <w:link w:val="a6"/>
    <w:rsid w:val="00884374"/>
    <w:pPr>
      <w:spacing w:line="288" w:lineRule="exact"/>
      <w:ind w:right="144"/>
      <w:jc w:val="both"/>
    </w:pPr>
    <w:rPr>
      <w:rFonts w:ascii="Bookman Old Style" w:hAnsi="Bookman Old Style"/>
      <w:szCs w:val="18"/>
    </w:rPr>
  </w:style>
  <w:style w:type="character" w:customStyle="1" w:styleId="a6">
    <w:name w:val="Основной текст Знак"/>
    <w:basedOn w:val="a0"/>
    <w:link w:val="a5"/>
    <w:rsid w:val="00884374"/>
    <w:rPr>
      <w:rFonts w:ascii="Bookman Old Style" w:eastAsia="Times New Roman" w:hAnsi="Bookman Old Style" w:cs="Times New Roman"/>
      <w:sz w:val="24"/>
      <w:szCs w:val="18"/>
      <w:lang w:eastAsia="ru-RU"/>
    </w:rPr>
  </w:style>
  <w:style w:type="paragraph" w:customStyle="1" w:styleId="tjbmf">
    <w:name w:val="tj bmf"/>
    <w:basedOn w:val="a"/>
    <w:rsid w:val="00884374"/>
    <w:pPr>
      <w:spacing w:before="100" w:beforeAutospacing="1" w:after="100" w:afterAutospacing="1"/>
    </w:pPr>
    <w:rPr>
      <w:lang w:val="ru-RU"/>
    </w:rPr>
  </w:style>
  <w:style w:type="paragraph" w:customStyle="1" w:styleId="a7">
    <w:name w:val="Бюджет"/>
    <w:basedOn w:val="a"/>
    <w:rsid w:val="004E6A65"/>
    <w:pPr>
      <w:tabs>
        <w:tab w:val="center" w:pos="142"/>
      </w:tabs>
      <w:spacing w:line="360" w:lineRule="auto"/>
      <w:ind w:right="187"/>
      <w:jc w:val="both"/>
    </w:pPr>
    <w:rPr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59C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59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E71B8-113E-4A29-B389-D7185565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2054</Words>
  <Characters>11712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ПК-1</cp:lastModifiedBy>
  <cp:revision>9</cp:revision>
  <cp:lastPrinted>2022-12-20T07:30:00Z</cp:lastPrinted>
  <dcterms:created xsi:type="dcterms:W3CDTF">2022-12-15T14:23:00Z</dcterms:created>
  <dcterms:modified xsi:type="dcterms:W3CDTF">2022-12-26T10:54:00Z</dcterms:modified>
</cp:coreProperties>
</file>