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E06F8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FA13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B75D1D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D03C33">
        <w:rPr>
          <w:rFonts w:ascii="Times New Roman" w:eastAsia="Times New Roman" w:hAnsi="Times New Roman"/>
          <w:lang w:val="uk-UA" w:eastAsia="ru-RU"/>
        </w:rPr>
        <w:t>659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FA1331">
        <w:rPr>
          <w:rFonts w:ascii="Times New Roman" w:eastAsia="Times New Roman" w:hAnsi="Times New Roman"/>
          <w:lang w:val="en-US" w:eastAsia="ru-RU"/>
        </w:rPr>
        <w:t>XLIII</w:t>
      </w:r>
      <w:r w:rsidR="00D9587A" w:rsidRPr="00903ED6">
        <w:rPr>
          <w:rFonts w:ascii="Times New Roman" w:eastAsia="Times New Roman" w:hAnsi="Times New Roman"/>
          <w:lang w:val="uk-UA" w:eastAsia="ru-RU"/>
        </w:rPr>
        <w:t>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FA1331">
        <w:rPr>
          <w:rFonts w:ascii="Times New Roman" w:eastAsia="Times New Roman" w:hAnsi="Times New Roman"/>
          <w:lang w:val="uk-UA" w:eastAsia="ru-RU"/>
        </w:rPr>
        <w:t>9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FA1331">
        <w:rPr>
          <w:rFonts w:ascii="Times New Roman" w:eastAsia="Times New Roman" w:hAnsi="Times New Roman"/>
          <w:lang w:val="uk-UA" w:eastAsia="ru-RU"/>
        </w:rPr>
        <w:t>5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 xml:space="preserve">, </w:t>
      </w:r>
      <w:r w:rsidR="00310D85">
        <w:rPr>
          <w:rFonts w:ascii="Times New Roman" w:eastAsia="Times New Roman" w:hAnsi="Times New Roman"/>
          <w:lang w:val="uk-UA" w:eastAsia="ru-RU"/>
        </w:rPr>
        <w:t xml:space="preserve">зміни </w:t>
      </w:r>
      <w:r w:rsidR="00310D85" w:rsidRPr="00310D85">
        <w:rPr>
          <w:rFonts w:ascii="Times New Roman" w:eastAsia="Times New Roman" w:hAnsi="Times New Roman"/>
          <w:lang w:val="uk-UA" w:eastAsia="ru-RU"/>
        </w:rPr>
        <w:t>рішення  №693 /XLIV  -VІII від 17.03.2026 року</w:t>
      </w:r>
      <w:r w:rsidR="00B75D1D">
        <w:rPr>
          <w:rFonts w:ascii="Times New Roman" w:eastAsia="Times New Roman" w:hAnsi="Times New Roman"/>
          <w:lang w:val="uk-UA" w:eastAsia="ru-RU"/>
        </w:rPr>
        <w:t>, зміни рішення № 723/</w:t>
      </w:r>
      <w:r w:rsidR="00B75D1D">
        <w:rPr>
          <w:rFonts w:ascii="Times New Roman" w:eastAsia="Times New Roman" w:hAnsi="Times New Roman"/>
          <w:lang w:val="en-US" w:eastAsia="ru-RU"/>
        </w:rPr>
        <w:t>XLV</w:t>
      </w:r>
      <w:r w:rsidR="00B75D1D" w:rsidRPr="00B75D1D">
        <w:rPr>
          <w:rFonts w:ascii="Times New Roman" w:eastAsia="Times New Roman" w:hAnsi="Times New Roman"/>
          <w:lang w:val="uk-UA" w:eastAsia="ru-RU"/>
        </w:rPr>
        <w:t>-</w:t>
      </w:r>
      <w:r w:rsidR="00B75D1D">
        <w:rPr>
          <w:rFonts w:ascii="Times New Roman" w:eastAsia="Times New Roman" w:hAnsi="Times New Roman"/>
          <w:lang w:val="en-US" w:eastAsia="ru-RU"/>
        </w:rPr>
        <w:t>VIII</w:t>
      </w:r>
      <w:r w:rsidR="00B75D1D" w:rsidRPr="00B75D1D">
        <w:rPr>
          <w:rFonts w:ascii="Times New Roman" w:eastAsia="Times New Roman" w:hAnsi="Times New Roman"/>
          <w:lang w:val="uk-UA" w:eastAsia="ru-RU"/>
        </w:rPr>
        <w:t xml:space="preserve"> </w:t>
      </w:r>
      <w:r w:rsidR="00B75D1D">
        <w:rPr>
          <w:rFonts w:ascii="Times New Roman" w:eastAsia="Times New Roman" w:hAnsi="Times New Roman"/>
          <w:lang w:val="uk-UA" w:eastAsia="ru-RU"/>
        </w:rPr>
        <w:t>від 21.05.2026 року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FA1331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6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рік»</w:t>
      </w: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P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8711A" w:rsidRPr="005076C7" w:rsidRDefault="00D8711A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22E14" w:rsidRDefault="00922E14" w:rsidP="00922E14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Pr="00922E14" w:rsidRDefault="00922E14" w:rsidP="00922E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Default="00922E14" w:rsidP="00922E14">
      <w:pPr>
        <w:pStyle w:val="a6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22E14" w:rsidRDefault="00922E14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22E14" w:rsidRDefault="00922E14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22E14" w:rsidRPr="00922E14" w:rsidRDefault="00922E14" w:rsidP="00922E14">
      <w:pPr>
        <w:pStyle w:val="a6"/>
        <w:numPr>
          <w:ilvl w:val="0"/>
          <w:numId w:val="4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0D081D" w:rsidRPr="003F25A8" w:rsidRDefault="000D081D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0D081D" w:rsidRDefault="000D081D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Pr="00653082" w:rsidRDefault="00653082" w:rsidP="007B58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653082">
        <w:rPr>
          <w:rFonts w:ascii="Times New Roman" w:eastAsia="Times New Roman" w:hAnsi="Times New Roman"/>
          <w:sz w:val="28"/>
          <w:szCs w:val="28"/>
          <w:lang w:val="uk-UA" w:eastAsia="ru-RU"/>
        </w:rPr>
        <w:t>Грушівський</w:t>
      </w:r>
      <w:proofErr w:type="spellEnd"/>
      <w:r w:rsidRPr="00653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</w:t>
      </w:r>
      <w:r w:rsidR="009779AD" w:rsidRPr="00653082">
        <w:rPr>
          <w:rFonts w:ascii="Times New Roman" w:eastAsia="Times New Roman" w:hAnsi="Times New Roman"/>
          <w:sz w:val="28"/>
          <w:szCs w:val="28"/>
          <w:lang w:val="uk-UA" w:eastAsia="ru-RU"/>
        </w:rPr>
        <w:t>ільський голова                                       Сергій МАРИНЕНКО</w:t>
      </w:r>
      <w:r w:rsidR="007573E3" w:rsidRPr="006530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8B19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2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6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6"/>
  </w:num>
  <w:num w:numId="11">
    <w:abstractNumId w:val="13"/>
  </w:num>
  <w:num w:numId="12">
    <w:abstractNumId w:val="28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0"/>
  </w:num>
  <w:num w:numId="17">
    <w:abstractNumId w:val="41"/>
  </w:num>
  <w:num w:numId="18">
    <w:abstractNumId w:val="24"/>
  </w:num>
  <w:num w:numId="19">
    <w:abstractNumId w:val="23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8"/>
  </w:num>
  <w:num w:numId="25">
    <w:abstractNumId w:val="10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0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4"/>
  </w:num>
  <w:num w:numId="36">
    <w:abstractNumId w:val="29"/>
  </w:num>
  <w:num w:numId="37">
    <w:abstractNumId w:val="33"/>
  </w:num>
  <w:num w:numId="38">
    <w:abstractNumId w:val="6"/>
  </w:num>
  <w:num w:numId="39">
    <w:abstractNumId w:val="42"/>
  </w:num>
  <w:num w:numId="40">
    <w:abstractNumId w:val="19"/>
  </w:num>
  <w:num w:numId="41">
    <w:abstractNumId w:val="37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F73D5"/>
    <w:rsid w:val="000F7AE7"/>
    <w:rsid w:val="001168E9"/>
    <w:rsid w:val="0011771A"/>
    <w:rsid w:val="001252DB"/>
    <w:rsid w:val="00127B05"/>
    <w:rsid w:val="00127F36"/>
    <w:rsid w:val="00132A6F"/>
    <w:rsid w:val="00185FF4"/>
    <w:rsid w:val="00191F07"/>
    <w:rsid w:val="00193619"/>
    <w:rsid w:val="00194A08"/>
    <w:rsid w:val="001A22FE"/>
    <w:rsid w:val="001A2B1D"/>
    <w:rsid w:val="001D1D58"/>
    <w:rsid w:val="00231838"/>
    <w:rsid w:val="00233F2A"/>
    <w:rsid w:val="002A5E57"/>
    <w:rsid w:val="00307D4F"/>
    <w:rsid w:val="00310D85"/>
    <w:rsid w:val="00317BA3"/>
    <w:rsid w:val="00320427"/>
    <w:rsid w:val="00347726"/>
    <w:rsid w:val="00392F6C"/>
    <w:rsid w:val="00395FBE"/>
    <w:rsid w:val="00396F47"/>
    <w:rsid w:val="003A093B"/>
    <w:rsid w:val="003A67FA"/>
    <w:rsid w:val="003E5B4A"/>
    <w:rsid w:val="003E7342"/>
    <w:rsid w:val="003F25A8"/>
    <w:rsid w:val="004113B1"/>
    <w:rsid w:val="004264BE"/>
    <w:rsid w:val="00430538"/>
    <w:rsid w:val="00443314"/>
    <w:rsid w:val="00454E28"/>
    <w:rsid w:val="00455FC5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803BC"/>
    <w:rsid w:val="005A37E7"/>
    <w:rsid w:val="005A40E4"/>
    <w:rsid w:val="005F083C"/>
    <w:rsid w:val="00613D51"/>
    <w:rsid w:val="00642276"/>
    <w:rsid w:val="00653082"/>
    <w:rsid w:val="006D32FC"/>
    <w:rsid w:val="006D432B"/>
    <w:rsid w:val="006E1720"/>
    <w:rsid w:val="00716DFA"/>
    <w:rsid w:val="007257A6"/>
    <w:rsid w:val="007465A7"/>
    <w:rsid w:val="00753DF6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75D1D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03C33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326D"/>
    <w:rsid w:val="00F16808"/>
    <w:rsid w:val="00F60047"/>
    <w:rsid w:val="00F704DA"/>
    <w:rsid w:val="00F908F9"/>
    <w:rsid w:val="00F97FE3"/>
    <w:rsid w:val="00FA1331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2D50B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8072-BD33-45B4-B82C-6FABBB82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3</cp:revision>
  <cp:lastPrinted>2026-05-25T13:31:00Z</cp:lastPrinted>
  <dcterms:created xsi:type="dcterms:W3CDTF">2026-05-25T13:31:00Z</dcterms:created>
  <dcterms:modified xsi:type="dcterms:W3CDTF">2026-05-28T12:11:00Z</dcterms:modified>
</cp:coreProperties>
</file>